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CA7" w:rsidRPr="00E34CA7" w:rsidRDefault="00E34CA7" w:rsidP="00E34CA7">
      <w:pPr>
        <w:shd w:val="clear" w:color="auto" w:fill="FFFFFF"/>
        <w:spacing w:after="255" w:line="300" w:lineRule="atLeast"/>
        <w:outlineLvl w:val="1"/>
        <w:rPr>
          <w:rFonts w:ascii="Arial" w:eastAsia="Times New Roman" w:hAnsi="Arial" w:cs="Arial"/>
          <w:b/>
          <w:bCs/>
          <w:color w:val="4D4D4D"/>
          <w:sz w:val="27"/>
          <w:szCs w:val="27"/>
          <w:lang w:eastAsia="ru-RU"/>
        </w:rPr>
      </w:pPr>
      <w:r w:rsidRPr="00E34CA7">
        <w:rPr>
          <w:rFonts w:ascii="Arial" w:eastAsia="Times New Roman" w:hAnsi="Arial" w:cs="Arial"/>
          <w:b/>
          <w:bCs/>
          <w:color w:val="4D4D4D"/>
          <w:sz w:val="27"/>
          <w:szCs w:val="27"/>
          <w:lang w:eastAsia="ru-RU"/>
        </w:rPr>
        <w:t>Письмо Министерства просвещения РФ от 27 марта 2023 г. № 06-545 “О направлении информации”</w:t>
      </w:r>
    </w:p>
    <w:p w:rsidR="00E34CA7" w:rsidRPr="00E34CA7" w:rsidRDefault="00E34CA7" w:rsidP="00E34CA7">
      <w:pPr>
        <w:shd w:val="clear" w:color="auto" w:fill="FFFFFF"/>
        <w:spacing w:after="180" w:line="240" w:lineRule="auto"/>
        <w:rPr>
          <w:rFonts w:ascii="Arial" w:eastAsia="Times New Roman" w:hAnsi="Arial" w:cs="Arial"/>
          <w:color w:val="333333"/>
          <w:sz w:val="21"/>
          <w:szCs w:val="21"/>
          <w:lang w:eastAsia="ru-RU"/>
        </w:rPr>
      </w:pPr>
      <w:r w:rsidRPr="00E34CA7">
        <w:rPr>
          <w:rFonts w:ascii="Arial" w:eastAsia="Times New Roman" w:hAnsi="Arial" w:cs="Arial"/>
          <w:color w:val="333333"/>
          <w:sz w:val="21"/>
          <w:szCs w:val="21"/>
          <w:lang w:eastAsia="ru-RU"/>
        </w:rPr>
        <w:t>28 апреля 2023</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bookmarkStart w:id="0" w:name="0"/>
      <w:bookmarkEnd w:id="0"/>
      <w:proofErr w:type="gramStart"/>
      <w:r w:rsidRPr="00E34CA7">
        <w:rPr>
          <w:rFonts w:ascii="Arial" w:eastAsia="Times New Roman" w:hAnsi="Arial" w:cs="Arial"/>
          <w:color w:val="333333"/>
          <w:sz w:val="23"/>
          <w:szCs w:val="23"/>
          <w:lang w:eastAsia="ru-RU"/>
        </w:rPr>
        <w:t xml:space="preserve">Департамент государственной политики в сфере воспитания, дополнительного образования и детского отдыха </w:t>
      </w:r>
      <w:proofErr w:type="spellStart"/>
      <w:r w:rsidRPr="00E34CA7">
        <w:rPr>
          <w:rFonts w:ascii="Arial" w:eastAsia="Times New Roman" w:hAnsi="Arial" w:cs="Arial"/>
          <w:color w:val="333333"/>
          <w:sz w:val="23"/>
          <w:szCs w:val="23"/>
          <w:lang w:eastAsia="ru-RU"/>
        </w:rPr>
        <w:t>Минпросвещения</w:t>
      </w:r>
      <w:proofErr w:type="spellEnd"/>
      <w:r w:rsidRPr="00E34CA7">
        <w:rPr>
          <w:rFonts w:ascii="Arial" w:eastAsia="Times New Roman" w:hAnsi="Arial" w:cs="Arial"/>
          <w:color w:val="333333"/>
          <w:sz w:val="23"/>
          <w:szCs w:val="23"/>
          <w:lang w:eastAsia="ru-RU"/>
        </w:rPr>
        <w:t xml:space="preserve"> России во исполнение пункта 4.1 протокола по итогам совещания с исполнительными органами субъектов Российской Федерации по реализации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(далее - Закон о социальном заказе) в сфере дополнительного образования</w:t>
      </w:r>
      <w:proofErr w:type="gramEnd"/>
      <w:r w:rsidRPr="00E34CA7">
        <w:rPr>
          <w:rFonts w:ascii="Arial" w:eastAsia="Times New Roman" w:hAnsi="Arial" w:cs="Arial"/>
          <w:color w:val="333333"/>
          <w:sz w:val="23"/>
          <w:szCs w:val="23"/>
          <w:lang w:eastAsia="ru-RU"/>
        </w:rPr>
        <w:t xml:space="preserve"> </w:t>
      </w:r>
      <w:proofErr w:type="gramStart"/>
      <w:r w:rsidRPr="00E34CA7">
        <w:rPr>
          <w:rFonts w:ascii="Arial" w:eastAsia="Times New Roman" w:hAnsi="Arial" w:cs="Arial"/>
          <w:color w:val="333333"/>
          <w:sz w:val="23"/>
          <w:szCs w:val="23"/>
          <w:lang w:eastAsia="ru-RU"/>
        </w:rPr>
        <w:t>детей от 26 января 2023 г. N Д06-7/06пр направляет для использования в работе согласованное с Минфином России (Лавров А.М., письмо от 9 марта 2023 г. N 02-13-10/19592) </w:t>
      </w:r>
      <w:hyperlink r:id="rId5" w:anchor="1000" w:history="1">
        <w:r w:rsidRPr="00E34CA7">
          <w:rPr>
            <w:rFonts w:ascii="Arial" w:eastAsia="Times New Roman" w:hAnsi="Arial" w:cs="Arial"/>
            <w:color w:val="808080"/>
            <w:sz w:val="23"/>
            <w:szCs w:val="23"/>
            <w:u w:val="single"/>
            <w:bdr w:val="none" w:sz="0" w:space="0" w:color="auto" w:frame="1"/>
            <w:lang w:eastAsia="ru-RU"/>
          </w:rPr>
          <w:t>информационно-методическое письмо</w:t>
        </w:r>
      </w:hyperlink>
      <w:r w:rsidRPr="00E34CA7">
        <w:rPr>
          <w:rFonts w:ascii="Arial" w:eastAsia="Times New Roman" w:hAnsi="Arial" w:cs="Arial"/>
          <w:color w:val="333333"/>
          <w:sz w:val="23"/>
          <w:szCs w:val="23"/>
          <w:lang w:eastAsia="ru-RU"/>
        </w:rPr>
        <w:t> об организации в соответствии с Законом о социальном заказе реализации дополнительных общеобразовательных программ (за исключением дополнительных предпрофессиональных программ в области искусств).</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Приложение: на 9 л. в 1 экз.</w:t>
      </w:r>
    </w:p>
    <w:tbl>
      <w:tblPr>
        <w:tblW w:w="0" w:type="auto"/>
        <w:tblCellMar>
          <w:top w:w="15" w:type="dxa"/>
          <w:left w:w="15" w:type="dxa"/>
          <w:bottom w:w="15" w:type="dxa"/>
          <w:right w:w="15" w:type="dxa"/>
        </w:tblCellMar>
        <w:tblLook w:val="04A0" w:firstRow="1" w:lastRow="0" w:firstColumn="1" w:lastColumn="0" w:noHBand="0" w:noVBand="1"/>
      </w:tblPr>
      <w:tblGrid>
        <w:gridCol w:w="3044"/>
        <w:gridCol w:w="3044"/>
      </w:tblGrid>
      <w:tr w:rsidR="00E34CA7" w:rsidRPr="00E34CA7" w:rsidTr="00E34CA7">
        <w:tc>
          <w:tcPr>
            <w:tcW w:w="2500" w:type="pct"/>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proofErr w:type="spellStart"/>
            <w:r w:rsidRPr="00E34CA7">
              <w:rPr>
                <w:rFonts w:ascii="Times New Roman" w:eastAsia="Times New Roman" w:hAnsi="Times New Roman" w:cs="Times New Roman"/>
                <w:sz w:val="24"/>
                <w:szCs w:val="24"/>
                <w:lang w:eastAsia="ru-RU"/>
              </w:rPr>
              <w:t>И.о</w:t>
            </w:r>
            <w:proofErr w:type="spellEnd"/>
            <w:r w:rsidRPr="00E34CA7">
              <w:rPr>
                <w:rFonts w:ascii="Times New Roman" w:eastAsia="Times New Roman" w:hAnsi="Times New Roman" w:cs="Times New Roman"/>
                <w:sz w:val="24"/>
                <w:szCs w:val="24"/>
                <w:lang w:eastAsia="ru-RU"/>
              </w:rPr>
              <w:t>. директора Департамента</w:t>
            </w:r>
          </w:p>
        </w:tc>
        <w:tc>
          <w:tcPr>
            <w:tcW w:w="2500" w:type="pct"/>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А.И. Лыжин</w:t>
            </w:r>
          </w:p>
        </w:tc>
      </w:tr>
    </w:tbl>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Приложение</w:t>
      </w:r>
      <w:r w:rsidRPr="00E34CA7">
        <w:rPr>
          <w:rFonts w:ascii="Arial" w:eastAsia="Times New Roman" w:hAnsi="Arial" w:cs="Arial"/>
          <w:color w:val="333333"/>
          <w:sz w:val="23"/>
          <w:szCs w:val="23"/>
          <w:lang w:eastAsia="ru-RU"/>
        </w:rPr>
        <w:br/>
        <w:t>к </w:t>
      </w:r>
      <w:hyperlink r:id="rId6" w:anchor="0" w:history="1">
        <w:r w:rsidRPr="00E34CA7">
          <w:rPr>
            <w:rFonts w:ascii="Arial" w:eastAsia="Times New Roman" w:hAnsi="Arial" w:cs="Arial"/>
            <w:color w:val="808080"/>
            <w:sz w:val="23"/>
            <w:szCs w:val="23"/>
            <w:u w:val="single"/>
            <w:bdr w:val="none" w:sz="0" w:space="0" w:color="auto" w:frame="1"/>
            <w:lang w:eastAsia="ru-RU"/>
          </w:rPr>
          <w:t>письму</w:t>
        </w:r>
      </w:hyperlink>
      <w:r w:rsidRPr="00E34CA7">
        <w:rPr>
          <w:rFonts w:ascii="Arial" w:eastAsia="Times New Roman" w:hAnsi="Arial" w:cs="Arial"/>
          <w:color w:val="333333"/>
          <w:sz w:val="23"/>
          <w:szCs w:val="23"/>
          <w:lang w:eastAsia="ru-RU"/>
        </w:rPr>
        <w:t> </w:t>
      </w:r>
      <w:proofErr w:type="spellStart"/>
      <w:r w:rsidRPr="00E34CA7">
        <w:rPr>
          <w:rFonts w:ascii="Arial" w:eastAsia="Times New Roman" w:hAnsi="Arial" w:cs="Arial"/>
          <w:color w:val="333333"/>
          <w:sz w:val="23"/>
          <w:szCs w:val="23"/>
          <w:lang w:eastAsia="ru-RU"/>
        </w:rPr>
        <w:t>Минпросвещения</w:t>
      </w:r>
      <w:proofErr w:type="spellEnd"/>
      <w:r w:rsidRPr="00E34CA7">
        <w:rPr>
          <w:rFonts w:ascii="Arial" w:eastAsia="Times New Roman" w:hAnsi="Arial" w:cs="Arial"/>
          <w:color w:val="333333"/>
          <w:sz w:val="23"/>
          <w:szCs w:val="23"/>
          <w:lang w:eastAsia="ru-RU"/>
        </w:rPr>
        <w:t xml:space="preserve"> России</w:t>
      </w:r>
      <w:r w:rsidRPr="00E34CA7">
        <w:rPr>
          <w:rFonts w:ascii="Arial" w:eastAsia="Times New Roman" w:hAnsi="Arial" w:cs="Arial"/>
          <w:color w:val="333333"/>
          <w:sz w:val="23"/>
          <w:szCs w:val="23"/>
          <w:lang w:eastAsia="ru-RU"/>
        </w:rPr>
        <w:br/>
        <w:t>от 27 марта 2023 г. № 06-545</w:t>
      </w:r>
    </w:p>
    <w:p w:rsidR="00E34CA7" w:rsidRPr="00E34CA7" w:rsidRDefault="00E34CA7" w:rsidP="00E34CA7">
      <w:pPr>
        <w:shd w:val="clear" w:color="auto" w:fill="FFFFFF"/>
        <w:spacing w:after="255" w:line="270" w:lineRule="atLeast"/>
        <w:outlineLvl w:val="2"/>
        <w:rPr>
          <w:rFonts w:ascii="Arial" w:eastAsia="Times New Roman" w:hAnsi="Arial" w:cs="Arial"/>
          <w:b/>
          <w:bCs/>
          <w:color w:val="333333"/>
          <w:sz w:val="26"/>
          <w:szCs w:val="26"/>
          <w:lang w:eastAsia="ru-RU"/>
        </w:rPr>
      </w:pPr>
      <w:r w:rsidRPr="00E34CA7">
        <w:rPr>
          <w:rFonts w:ascii="Arial" w:eastAsia="Times New Roman" w:hAnsi="Arial" w:cs="Arial"/>
          <w:b/>
          <w:bCs/>
          <w:color w:val="333333"/>
          <w:sz w:val="26"/>
          <w:szCs w:val="26"/>
          <w:lang w:eastAsia="ru-RU"/>
        </w:rPr>
        <w:t>Информационно-методическое письмо</w:t>
      </w:r>
      <w:r w:rsidRPr="00E34CA7">
        <w:rPr>
          <w:rFonts w:ascii="Arial" w:eastAsia="Times New Roman" w:hAnsi="Arial" w:cs="Arial"/>
          <w:b/>
          <w:bCs/>
          <w:color w:val="333333"/>
          <w:sz w:val="26"/>
          <w:szCs w:val="26"/>
          <w:lang w:eastAsia="ru-RU"/>
        </w:rPr>
        <w:br/>
        <w:t xml:space="preserve">об организации в соответствии с Законом </w:t>
      </w:r>
      <w:bookmarkStart w:id="1" w:name="_GoBack"/>
      <w:r w:rsidRPr="00E34CA7">
        <w:rPr>
          <w:rFonts w:ascii="Arial" w:eastAsia="Times New Roman" w:hAnsi="Arial" w:cs="Arial"/>
          <w:b/>
          <w:bCs/>
          <w:color w:val="333333"/>
          <w:sz w:val="26"/>
          <w:szCs w:val="26"/>
          <w:lang w:eastAsia="ru-RU"/>
        </w:rPr>
        <w:t>о социальном заказе реализации дополнительных общеобразовательных программ</w:t>
      </w:r>
      <w:r w:rsidRPr="00E34CA7">
        <w:rPr>
          <w:rFonts w:ascii="Arial" w:eastAsia="Times New Roman" w:hAnsi="Arial" w:cs="Arial"/>
          <w:b/>
          <w:bCs/>
          <w:color w:val="333333"/>
          <w:sz w:val="26"/>
          <w:szCs w:val="26"/>
          <w:lang w:eastAsia="ru-RU"/>
        </w:rPr>
        <w:br/>
        <w:t>(за исключением дополнительных предпрофессиональных программ в области искусств)</w:t>
      </w:r>
    </w:p>
    <w:bookmarkEnd w:id="1"/>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В целях повышения качества и доступности </w:t>
      </w:r>
      <w:proofErr w:type="gramStart"/>
      <w:r w:rsidRPr="00E34CA7">
        <w:rPr>
          <w:rFonts w:ascii="Arial" w:eastAsia="Times New Roman" w:hAnsi="Arial" w:cs="Arial"/>
          <w:color w:val="333333"/>
          <w:sz w:val="23"/>
          <w:szCs w:val="23"/>
          <w:lang w:eastAsia="ru-RU"/>
        </w:rPr>
        <w:t>оказания</w:t>
      </w:r>
      <w:proofErr w:type="gramEnd"/>
      <w:r w:rsidRPr="00E34CA7">
        <w:rPr>
          <w:rFonts w:ascii="Arial" w:eastAsia="Times New Roman" w:hAnsi="Arial" w:cs="Arial"/>
          <w:color w:val="333333"/>
          <w:sz w:val="23"/>
          <w:szCs w:val="23"/>
          <w:lang w:eastAsia="ru-RU"/>
        </w:rPr>
        <w:t xml:space="preserve"> государственных и муниципальных услуг в социальной сфере принят Федеральный закон от 13 июля 2020 г. N 189-ФЗ "О государственном (муниципальном) социальном заказе на оказание государственных (муниципальных) услуг в социальной сфере" (далее - Закон о социальном заказе, Федеральный закон N 189-ФЗ).</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Федеральный закон N 189-ФЗ регулирует отношения, связанные с формированием и исполнением государственных (муниципальных) социальных заказов на оказание государственных (муниципальных) услуг физическим лицам за счет субсидий, предоставляемых из бюджетов бюджетной системы Российской Федерации, в отраслях социальной сферы (образование, здравоохранение, социальная защита, занятость населения, физическая культура и спорт, туризм), в том числе права и обязанности участников таких отношений, отношения, связанные со способами</w:t>
      </w:r>
      <w:proofErr w:type="gramEnd"/>
      <w:r w:rsidRPr="00E34CA7">
        <w:rPr>
          <w:rFonts w:ascii="Arial" w:eastAsia="Times New Roman" w:hAnsi="Arial" w:cs="Arial"/>
          <w:color w:val="333333"/>
          <w:sz w:val="23"/>
          <w:szCs w:val="23"/>
          <w:lang w:eastAsia="ru-RU"/>
        </w:rPr>
        <w:t xml:space="preserve"> отбора исполнителей государственных (муниципальных) услуг в социальной сфере на конкурентной основе.</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Термин государственная (муниципальная) услуга в социальном заказе используется в значении, определенном бюджетным законодательством Российской Федерации.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 реализации Закона о социальном заказе на оказание государственных (муниципальных) услуг в сфере дополнительного образования детей</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lastRenderedPageBreak/>
        <w:t>В связи с принятием Федерального закона от 28 декабря 2022 г. N 568-ФЗ "О внесении изменений в отдельные законодательные акты Российской Федерации и признании утратившей силу части 3 статьи 3 Федерального закона "О внесении изменений в отдельные законодательные акты Российской Федерации в связи с принятием Федерального закона "О государственном (муниципальном) социальном заказе на оказание государственных (муниципальных) услуг в социальной сфере</w:t>
      </w:r>
      <w:proofErr w:type="gramEnd"/>
      <w:r w:rsidRPr="00E34CA7">
        <w:rPr>
          <w:rFonts w:ascii="Arial" w:eastAsia="Times New Roman" w:hAnsi="Arial" w:cs="Arial"/>
          <w:color w:val="333333"/>
          <w:sz w:val="23"/>
          <w:szCs w:val="23"/>
          <w:lang w:eastAsia="ru-RU"/>
        </w:rPr>
        <w:t>" (далее - Федеральный закон N 568-ФЗ) по направлению реализация дополнительных образовательных программ (за исключением дополнительных предпрофессиональных программ в области искусств) формируется государственный (муниципальный) социальный заказ на 2023 - 2024 годы.</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 xml:space="preserve">В соответствии частью 2.2 статьи 28 Федерального закона N 189-ФЗ, введенной Федеральным законом N 568-ФЗ, положения о формировании и использовании социального заказа распространяются на все субъекты Российской Федерации, реализующие мероприятия Целевой модели развития региональных систем дополнительного образования детей, утвержденной приказом </w:t>
      </w:r>
      <w:proofErr w:type="spellStart"/>
      <w:r w:rsidRPr="00E34CA7">
        <w:rPr>
          <w:rFonts w:ascii="Arial" w:eastAsia="Times New Roman" w:hAnsi="Arial" w:cs="Arial"/>
          <w:color w:val="333333"/>
          <w:sz w:val="23"/>
          <w:szCs w:val="23"/>
          <w:lang w:eastAsia="ru-RU"/>
        </w:rPr>
        <w:t>Минпросвещения</w:t>
      </w:r>
      <w:proofErr w:type="spellEnd"/>
      <w:r w:rsidRPr="00E34CA7">
        <w:rPr>
          <w:rFonts w:ascii="Arial" w:eastAsia="Times New Roman" w:hAnsi="Arial" w:cs="Arial"/>
          <w:color w:val="333333"/>
          <w:sz w:val="23"/>
          <w:szCs w:val="23"/>
          <w:lang w:eastAsia="ru-RU"/>
        </w:rPr>
        <w:t xml:space="preserve"> России от 4 сентября 2019 г. N 467 "Об утверждении Целевой модели развития региональных систем дополнительного образования детей" (далее</w:t>
      </w:r>
      <w:proofErr w:type="gramEnd"/>
      <w:r w:rsidRPr="00E34CA7">
        <w:rPr>
          <w:rFonts w:ascii="Arial" w:eastAsia="Times New Roman" w:hAnsi="Arial" w:cs="Arial"/>
          <w:color w:val="333333"/>
          <w:sz w:val="23"/>
          <w:szCs w:val="23"/>
          <w:lang w:eastAsia="ru-RU"/>
        </w:rPr>
        <w:t xml:space="preserve"> - </w:t>
      </w:r>
      <w:proofErr w:type="gramStart"/>
      <w:r w:rsidRPr="00E34CA7">
        <w:rPr>
          <w:rFonts w:ascii="Arial" w:eastAsia="Times New Roman" w:hAnsi="Arial" w:cs="Arial"/>
          <w:color w:val="333333"/>
          <w:sz w:val="23"/>
          <w:szCs w:val="23"/>
          <w:lang w:eastAsia="ru-RU"/>
        </w:rPr>
        <w:t>Целевая модель), независимо от года внедрения Целевой модели.</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При этом</w:t>
      </w:r>
      <w:proofErr w:type="gramStart"/>
      <w:r w:rsidRPr="00E34CA7">
        <w:rPr>
          <w:rFonts w:ascii="Arial" w:eastAsia="Times New Roman" w:hAnsi="Arial" w:cs="Arial"/>
          <w:color w:val="333333"/>
          <w:sz w:val="23"/>
          <w:szCs w:val="23"/>
          <w:lang w:eastAsia="ru-RU"/>
        </w:rPr>
        <w:t>,</w:t>
      </w:r>
      <w:proofErr w:type="gramEnd"/>
      <w:r w:rsidRPr="00E34CA7">
        <w:rPr>
          <w:rFonts w:ascii="Arial" w:eastAsia="Times New Roman" w:hAnsi="Arial" w:cs="Arial"/>
          <w:color w:val="333333"/>
          <w:sz w:val="23"/>
          <w:szCs w:val="23"/>
          <w:lang w:eastAsia="ru-RU"/>
        </w:rPr>
        <w:t xml:space="preserve"> внедрение Целевой модели подразумевает, что организация реализации программ дополнительного образования осуществляется в регионе с 2023 года или ранее. Также необходимо учитывать, что условия реализации социального заказа наиболее подходят для реализации дополнительных общеразвивающих программ.</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 соответствии с Федеральным законом N 189-ФЗ применительно к системе дополнительного образования детей вводятся два способа реализации социального заказа - через исполнение государственного (муниципального) задания государственными (муниципальными) учреждениями (неконкурентный способ отбора исполнителей услуг) и выбор потребителем исполнителя услуг с помощью социального сертификата (конкурентный способ).</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Подходы к реализации социального сертификата во многом синхронизированы с подходами реализации общеразвивающих дополнительных программ в рамках персонифицированного финансирования дополнительного образования детей.</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Социальный заказ устанавливает качественные и количественные показатели, допустимые (возможные) отклонения от этих показателей, а также категории потребителей, и включает весь объем государственных (муниципальных) услуг по реализации дополнительных общеразвивающих программ для детей на территории субъекта Российской Федерации (муниципального образования), а применение социального сертификата (как способа организации реализации дополнительных общеобразовательных программ) определяется в социальном заказе в отношении услуг, поименованных в решении соответствующих</w:t>
      </w:r>
      <w:proofErr w:type="gramEnd"/>
      <w:r w:rsidRPr="00E34CA7">
        <w:rPr>
          <w:rFonts w:ascii="Arial" w:eastAsia="Times New Roman" w:hAnsi="Arial" w:cs="Arial"/>
          <w:color w:val="333333"/>
          <w:sz w:val="23"/>
          <w:szCs w:val="23"/>
          <w:lang w:eastAsia="ru-RU"/>
        </w:rPr>
        <w:t xml:space="preserve"> </w:t>
      </w:r>
      <w:proofErr w:type="gramStart"/>
      <w:r w:rsidRPr="00E34CA7">
        <w:rPr>
          <w:rFonts w:ascii="Arial" w:eastAsia="Times New Roman" w:hAnsi="Arial" w:cs="Arial"/>
          <w:color w:val="333333"/>
          <w:sz w:val="23"/>
          <w:szCs w:val="23"/>
          <w:lang w:eastAsia="ru-RU"/>
        </w:rPr>
        <w:t>органов государственной власти (органов местного самоуправления) об организации оказания государственных (муниципальных) услуг в социальной сфере, принятом в соответствии с частью 3 статьи 28 Федерального закона N 189-ФЗ.</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В целях финансового обеспечения исполнения социального заказа применяются следующие элементы </w:t>
      </w:r>
      <w:proofErr w:type="gramStart"/>
      <w:r w:rsidRPr="00E34CA7">
        <w:rPr>
          <w:rFonts w:ascii="Arial" w:eastAsia="Times New Roman" w:hAnsi="Arial" w:cs="Arial"/>
          <w:color w:val="333333"/>
          <w:sz w:val="23"/>
          <w:szCs w:val="23"/>
          <w:lang w:eastAsia="ru-RU"/>
        </w:rPr>
        <w:t>кода видов расходов классификации расходов</w:t>
      </w:r>
      <w:proofErr w:type="gramEnd"/>
      <w:r w:rsidRPr="00E34CA7">
        <w:rPr>
          <w:rFonts w:ascii="Arial" w:eastAsia="Times New Roman" w:hAnsi="Arial" w:cs="Arial"/>
          <w:color w:val="333333"/>
          <w:sz w:val="23"/>
          <w:szCs w:val="23"/>
          <w:lang w:eastAsia="ru-RU"/>
        </w:rPr>
        <w:t xml:space="preserve"> бюджетов, предусмотренные приказом Минфина России от 24 мая 2022 г. N 82н "О порядке формирования и применения кодов бюджетной классификации Российской Федерации, их структуре и принципах назначения": 614, 615, 624, 625, 635, 816.</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lastRenderedPageBreak/>
        <w:t xml:space="preserve">Расходы регионального (местного) бюджета на предоставление субсидий государственным (муниципальным) учреждениям на выполнение государственного (муниципального) задания в отношении государственных (муниципальных) услуг, включенных в государственный (муниципальный) социальный заказ, подлежат отражению по элементам </w:t>
      </w:r>
      <w:proofErr w:type="gramStart"/>
      <w:r w:rsidRPr="00E34CA7">
        <w:rPr>
          <w:rFonts w:ascii="Arial" w:eastAsia="Times New Roman" w:hAnsi="Arial" w:cs="Arial"/>
          <w:color w:val="333333"/>
          <w:sz w:val="23"/>
          <w:szCs w:val="23"/>
          <w:lang w:eastAsia="ru-RU"/>
        </w:rPr>
        <w:t>кода видов расходов классификации расходов бюджетов</w:t>
      </w:r>
      <w:proofErr w:type="gramEnd"/>
      <w:r w:rsidRPr="00E34CA7">
        <w:rPr>
          <w:rFonts w:ascii="Arial" w:eastAsia="Times New Roman" w:hAnsi="Arial" w:cs="Arial"/>
          <w:color w:val="333333"/>
          <w:sz w:val="23"/>
          <w:szCs w:val="23"/>
          <w:lang w:eastAsia="ru-RU"/>
        </w:rPr>
        <w:t xml:space="preserve"> 614 и 624.</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 соответствии с положениями пункта 7 статьи 9 Федерального закона N 189-ФЗ, в случае если исполнителем по социальному сертификату является государственное (муниципальное) учреждение, созданное публично-правовым образованием, от имени которого выступает уполномоченный орган, такому учреждению формируется (увеличивается) государственное (муниципальное) задание в объеме предъявляемых (предъявленных) сертификатов.</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В случае если исполнителем по социальному сертификату является государственное (муниципальное) учреждение, созданное иным публично-правовым образованием, расходы бюджета на предоставление субсидий в целях оплаты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(далее - Соглашение), заключенного с указанными учреждениями, подлежат отражению по элементам кода видов расходов классификации расходов бюджетов 615</w:t>
      </w:r>
      <w:proofErr w:type="gramEnd"/>
      <w:r w:rsidRPr="00E34CA7">
        <w:rPr>
          <w:rFonts w:ascii="Arial" w:eastAsia="Times New Roman" w:hAnsi="Arial" w:cs="Arial"/>
          <w:color w:val="333333"/>
          <w:sz w:val="23"/>
          <w:szCs w:val="23"/>
          <w:lang w:eastAsia="ru-RU"/>
        </w:rPr>
        <w:t xml:space="preserve"> и 625.</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В случае если исполнителем по социальному сертификату является организация, не являющаяся государственным (муниципальным) учреждением, расходы бюджета на предоставление субсидий в целях оплаты Соглашений, заключенных с такой организацией, подлежат отражению по элементам </w:t>
      </w:r>
      <w:proofErr w:type="gramStart"/>
      <w:r w:rsidRPr="00E34CA7">
        <w:rPr>
          <w:rFonts w:ascii="Arial" w:eastAsia="Times New Roman" w:hAnsi="Arial" w:cs="Arial"/>
          <w:color w:val="333333"/>
          <w:sz w:val="23"/>
          <w:szCs w:val="23"/>
          <w:lang w:eastAsia="ru-RU"/>
        </w:rPr>
        <w:t>кода видов расходов классификации расходов бюджетов</w:t>
      </w:r>
      <w:proofErr w:type="gramEnd"/>
      <w:r w:rsidRPr="00E34CA7">
        <w:rPr>
          <w:rFonts w:ascii="Arial" w:eastAsia="Times New Roman" w:hAnsi="Arial" w:cs="Arial"/>
          <w:color w:val="333333"/>
          <w:sz w:val="23"/>
          <w:szCs w:val="23"/>
          <w:lang w:eastAsia="ru-RU"/>
        </w:rPr>
        <w:t xml:space="preserve"> 635 и 816 соответственно в зависимости от организационно-правовой формы организации.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 xml:space="preserve">При этом вне зависимости от организационно-правовой формы исполнителя услуг расчет размера субсидии осуществляется с учетом нормативных затрат на оказание государственных (муниципальных) услуг, определенных в порядке, установленном для определения объема финансового обеспечения государственного задания, с соблюдением общих требований, установленных </w:t>
      </w:r>
      <w:proofErr w:type="spellStart"/>
      <w:r w:rsidRPr="00E34CA7">
        <w:rPr>
          <w:rFonts w:ascii="Arial" w:eastAsia="Times New Roman" w:hAnsi="Arial" w:cs="Arial"/>
          <w:color w:val="333333"/>
          <w:sz w:val="23"/>
          <w:szCs w:val="23"/>
          <w:lang w:eastAsia="ru-RU"/>
        </w:rPr>
        <w:t>Минпросвещения</w:t>
      </w:r>
      <w:proofErr w:type="spellEnd"/>
      <w:r w:rsidRPr="00E34CA7">
        <w:rPr>
          <w:rFonts w:ascii="Arial" w:eastAsia="Times New Roman" w:hAnsi="Arial" w:cs="Arial"/>
          <w:color w:val="333333"/>
          <w:sz w:val="23"/>
          <w:szCs w:val="23"/>
          <w:lang w:eastAsia="ru-RU"/>
        </w:rPr>
        <w:t xml:space="preserve"> России, которые не могут быть ниже нормативных затрат на оказание такой услуги в соответствии с государственным (муниципальным) заданием.</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В случае если законом (решением) о бюджете субъекта Российской Федерации (местном бюджете) (далее - закон (решение) о бюджете) бюджетные ассигнования предусмотрены с детализацией до подгруппы и элемента кода видов расходов классификации расходов бюджетов, потребуется внести изменения в закон о бюджете субъекта Российской Федерации, муниципальный правовой акт представительного органа муниципальных образований о местном бюджете в соответствии с графиком внесения таких изменений.</w:t>
      </w:r>
      <w:proofErr w:type="gramEnd"/>
      <w:r w:rsidRPr="00E34CA7">
        <w:rPr>
          <w:rFonts w:ascii="Arial" w:eastAsia="Times New Roman" w:hAnsi="Arial" w:cs="Arial"/>
          <w:color w:val="333333"/>
          <w:sz w:val="23"/>
          <w:szCs w:val="23"/>
          <w:lang w:eastAsia="ru-RU"/>
        </w:rPr>
        <w:t xml:space="preserve"> В случае если законом (решением) о бюджете не предусмотрена детализация утверждаемых бюджетных ассигнований до подгруппы и элемента </w:t>
      </w:r>
      <w:proofErr w:type="gramStart"/>
      <w:r w:rsidRPr="00E34CA7">
        <w:rPr>
          <w:rFonts w:ascii="Arial" w:eastAsia="Times New Roman" w:hAnsi="Arial" w:cs="Arial"/>
          <w:color w:val="333333"/>
          <w:sz w:val="23"/>
          <w:szCs w:val="23"/>
          <w:lang w:eastAsia="ru-RU"/>
        </w:rPr>
        <w:t>кода видов расходов классификации расходов</w:t>
      </w:r>
      <w:proofErr w:type="gramEnd"/>
      <w:r w:rsidRPr="00E34CA7">
        <w:rPr>
          <w:rFonts w:ascii="Arial" w:eastAsia="Times New Roman" w:hAnsi="Arial" w:cs="Arial"/>
          <w:color w:val="333333"/>
          <w:sz w:val="23"/>
          <w:szCs w:val="23"/>
          <w:lang w:eastAsia="ru-RU"/>
        </w:rPr>
        <w:t xml:space="preserve"> бюджетов, но она предусмотрена сводной бюджетной росписью - потребуется внести изменения в сводную бюджетную роспись.</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В случае если по результатам предъявления социальных сертификатов требуется перераспределить бюджетные ассигнования между видами расходов, соответствующие изменения могут быть внесены в показатели сводной бюджетной росписи без внесения изменений в закон (решение) о бюджете в соответствии с </w:t>
      </w:r>
      <w:r w:rsidRPr="00E34CA7">
        <w:rPr>
          <w:rFonts w:ascii="Arial" w:eastAsia="Times New Roman" w:hAnsi="Arial" w:cs="Arial"/>
          <w:color w:val="333333"/>
          <w:sz w:val="23"/>
          <w:szCs w:val="23"/>
          <w:lang w:eastAsia="ru-RU"/>
        </w:rPr>
        <w:lastRenderedPageBreak/>
        <w:t>абзацем 6 пункта 3 статьи 217 Бюджетного кодекса Российской Федерации (далее - Бюджетный кодекс).</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Кроме того, пунктом 8 статьи 217 Бюджетного кодекса предусмотрена возможность установить в законах субъектов Российской Федерации и муниципальных правовых актах представительных органов муниципальных образований, регулирующих бюджетные 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дополнительные</w:t>
      </w:r>
      <w:proofErr w:type="gramEnd"/>
      <w:r w:rsidRPr="00E34CA7">
        <w:rPr>
          <w:rFonts w:ascii="Arial" w:eastAsia="Times New Roman" w:hAnsi="Arial" w:cs="Arial"/>
          <w:color w:val="333333"/>
          <w:sz w:val="23"/>
          <w:szCs w:val="23"/>
          <w:lang w:eastAsia="ru-RU"/>
        </w:rPr>
        <w:t xml:space="preserve"> основания для внесения изменений в показатели сводной бюджетной росписи без внесения изменений в закон (решение) о бюджете и могут предусматриваться положения об установлении указанных дополнительных оснований в закон (решение) о бюджете.</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 </w:t>
      </w:r>
      <w:hyperlink r:id="rId7" w:anchor="11000" w:history="1">
        <w:r w:rsidRPr="00E34CA7">
          <w:rPr>
            <w:rFonts w:ascii="Arial" w:eastAsia="Times New Roman" w:hAnsi="Arial" w:cs="Arial"/>
            <w:color w:val="808080"/>
            <w:sz w:val="23"/>
            <w:szCs w:val="23"/>
            <w:u w:val="single"/>
            <w:bdr w:val="none" w:sz="0" w:space="0" w:color="auto" w:frame="1"/>
            <w:lang w:eastAsia="ru-RU"/>
          </w:rPr>
          <w:t>нормативно-правовом регулировании</w:t>
        </w:r>
      </w:hyperlink>
      <w:r w:rsidRPr="00E34CA7">
        <w:rPr>
          <w:rFonts w:ascii="Arial" w:eastAsia="Times New Roman" w:hAnsi="Arial" w:cs="Arial"/>
          <w:color w:val="333333"/>
          <w:sz w:val="23"/>
          <w:szCs w:val="23"/>
          <w:lang w:eastAsia="ru-RU"/>
        </w:rPr>
        <w:t> реализации Закона о социальном заказе</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 первую очередь для реализации Федерального закона N 189-ФЗ уполномоченным органам исполнительной власти субъекта Российской Федерации необходимо обеспечить принятие следующих нормативных правовых актов:</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решение органа государственной власти субъекта Российской Федерации (органа местного самоуправления) об организации оказания государственных (муниципальных) услуг в социальной сфере (далее - Решение). Варианты нормативных правовых актов, обеспечивающих формирование социального заказа на территории субъектов Российской Федерации, размещены на сайте Минфина России по адресу: https://minfin.gov.ru/ru/perfomance/budget/social_tools/social_order/dop;</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об утверждении порядка формирования государственных (муниципальных) социальных заказов на оказание государственных (муниципальных) услуг в социальной сфере, отнесенных к полномочиям органов государственной власти субъектов Российской Федерации (местного самоуправления), о форме и сроках формирования отчета об их исполнении. </w:t>
      </w:r>
      <w:proofErr w:type="gramStart"/>
      <w:r w:rsidRPr="00E34CA7">
        <w:rPr>
          <w:rFonts w:ascii="Arial" w:eastAsia="Times New Roman" w:hAnsi="Arial" w:cs="Arial"/>
          <w:color w:val="333333"/>
          <w:sz w:val="23"/>
          <w:szCs w:val="23"/>
          <w:lang w:eastAsia="ru-RU"/>
        </w:rPr>
        <w:t>Типовой акт размещен на сайте Минфина России по адресу: https://minfin.gov.ru/ru/perfomance/budget/social_tools/social_order).</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Принятие Решения осуществляется высшим исполнительным органом государственной власти субъекта Российской Федерации, в том </w:t>
      </w:r>
      <w:proofErr w:type="gramStart"/>
      <w:r w:rsidRPr="00E34CA7">
        <w:rPr>
          <w:rFonts w:ascii="Arial" w:eastAsia="Times New Roman" w:hAnsi="Arial" w:cs="Arial"/>
          <w:color w:val="333333"/>
          <w:sz w:val="23"/>
          <w:szCs w:val="23"/>
          <w:lang w:eastAsia="ru-RU"/>
        </w:rPr>
        <w:t>числе</w:t>
      </w:r>
      <w:proofErr w:type="gramEnd"/>
      <w:r w:rsidRPr="00E34CA7">
        <w:rPr>
          <w:rFonts w:ascii="Arial" w:eastAsia="Times New Roman" w:hAnsi="Arial" w:cs="Arial"/>
          <w:color w:val="333333"/>
          <w:sz w:val="23"/>
          <w:szCs w:val="23"/>
          <w:lang w:eastAsia="ru-RU"/>
        </w:rPr>
        <w:t xml:space="preserve"> в случае если бюджетом субъекта Российской Федерации не предусмотрено финансовое обеспечение реализации дополнительных образовательных программ.</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В случае если субъект Российской Федерации включен в перечень субъектов Российской Федерации, в которых вступает в силу Федеральный закон N 189-ФЗ, определенный Правительством Российской Федерации, необходимо внести изменение в утвержденный нормативный правовой акт высшего исполнительного органа государственной власти субъекта Российской Федерации, принятый в соответствии с частью 3 статьи 28 Федерального закона N 189-ФЗ.</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Правовое регулирование реализации Федерального закона N 189-ФЗ в муниципальных </w:t>
      </w:r>
      <w:proofErr w:type="gramStart"/>
      <w:r w:rsidRPr="00E34CA7">
        <w:rPr>
          <w:rFonts w:ascii="Arial" w:eastAsia="Times New Roman" w:hAnsi="Arial" w:cs="Arial"/>
          <w:color w:val="333333"/>
          <w:sz w:val="23"/>
          <w:szCs w:val="23"/>
          <w:lang w:eastAsia="ru-RU"/>
        </w:rPr>
        <w:t>образованиях</w:t>
      </w:r>
      <w:proofErr w:type="gramEnd"/>
      <w:r w:rsidRPr="00E34CA7">
        <w:rPr>
          <w:rFonts w:ascii="Arial" w:eastAsia="Times New Roman" w:hAnsi="Arial" w:cs="Arial"/>
          <w:color w:val="333333"/>
          <w:sz w:val="23"/>
          <w:szCs w:val="23"/>
          <w:lang w:eastAsia="ru-RU"/>
        </w:rPr>
        <w:t xml:space="preserve"> возможно обеспечить двумя способами: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1) принятие главой администрации муниципального образования решения руководствоваться нормативными правовыми актами субъекта Российской Федерации;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lastRenderedPageBreak/>
        <w:t>2) принятие отдельных муниципальных правовых актов. В указанном случае нормативные правовые акты субъекта Российской Федерации могут быть использованы органами местного самоуправления в качестве образца.</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 показателях эффективности реализации государственного (муниципального) социального заказа на оказание государственных (муниципальных) услуг</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Минфином России определены следующие группы показателей эффективности реализации мероприятий, проводимых в рамках апробации механизмов организации оказания государственных (муниципальных) услуг:</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Рост удовлетворённости граждан оказанием государственных (муниципальных) услуг в социальной сфере;</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Повышение качества оказанных услуг;</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Увеличение охвата услугами/доступа к услугам;</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Усиление конкуренции;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Улучшение условий для оказания услуг негосударственными организациями.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Значения групп показателей "Увеличение охвата услугами/доступа к услугам" и "Улучшение условий для оказания услуг некоммерческими организациями" определяются исходя из показателей, установленных в рамках внедрения в субъекте Российской Федерации Целевой модели, или показателей, утвержденных в субъекте Российской Федерации в рамках регионального плана реализации Концепции развития дополнительного образования детей на период до 2030 года.</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Значения групп показателей "Рост удовлетворённости граждан оказанием государственных (муниципальных) услуг в социальной сфере", "Повышение качества оказанных услуг", "Усиление конкуренции" определяются органами исполнительной власти субъекта Российской Федерации самостоятельно на основе модели, разработанной Научно-исследовательским финансовым институтом Минфина России (далее - НИФИ Минфина России), описание которой размещено на официальном сайте НИФИ Минфина России.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Указанные выше целевые показатели рекомендуется устанавливать на период до 4-х лет и в срок до 1 сентября 2023 года провести исследование с определением в качестве срока достижения промежуточных значений 2025 год.</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 формировании государственных (муниципальных) социальных заказов</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В соответствии с частью 3 статьи 6 Федерального закона N 568-ФЗ органам исполнительной власти субъектов Российской Федерации (органам местного самоуправления) необходимо в срок до 1 марта 2023 г. утвердить государственный (муниципальный) социальный заказ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искусства)". Для этого требуется утвердить актом высшего органа исполнительной власти субъекта Российской Федерации (актами исполнительно-распорядительного органа местного самоуправления муниципального образования, если не принято решение об использовании региональных актов), Порядок формирования государственных (муниципальных) социальных заказов на оказание государственных (муниципальных) </w:t>
      </w:r>
      <w:r w:rsidRPr="00E34CA7">
        <w:rPr>
          <w:rFonts w:ascii="Arial" w:eastAsia="Times New Roman" w:hAnsi="Arial" w:cs="Arial"/>
          <w:color w:val="333333"/>
          <w:sz w:val="23"/>
          <w:szCs w:val="23"/>
          <w:lang w:eastAsia="ru-RU"/>
        </w:rPr>
        <w:lastRenderedPageBreak/>
        <w:t>услуг в социальной сфере, отнесенных к полномочиям органов государственной власти (органов местного самоуправления).</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Порядок формирования государственных социальных заказов на оказание государственных услуг в социальной сфере принимается в субъекте Российской Федерации даже в том случае, если не требуется утверждение государственного социального заказа на реализацию дополнительных образовательных программ.</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Примерная форма государственного (муниципального) социального заказа утверждена постановлением Правительства Российской Федерации от 15 октября 2020 г. N 1694. В соответствии с примерной формой в социальном заказе подлежат отражению объемы услуг, оказываемых по социальным сертификатам на 2023 год и плановый период 2024 и 2025 годов.</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Для определения показателей объема на 2023 год предлагается использовать данные о выданных сертификатах персонифицированного финансирования, а также прогноз по периоду, начинающемуся с 1 сентября 2023 г. и по 2024 и 2025 годам.</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 государственный (муниципальный) социальный заказ подлежат включению, в том числе следующие сведения об услуге: уникальный реестровый номер, показатели объема услуги (человеко-часы) и показатели качества услуги (если предусмотрены).</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Указанная информация содержится в общероссийском и региональных </w:t>
      </w:r>
      <w:proofErr w:type="gramStart"/>
      <w:r w:rsidRPr="00E34CA7">
        <w:rPr>
          <w:rFonts w:ascii="Arial" w:eastAsia="Times New Roman" w:hAnsi="Arial" w:cs="Arial"/>
          <w:color w:val="333333"/>
          <w:sz w:val="23"/>
          <w:szCs w:val="23"/>
          <w:lang w:eastAsia="ru-RU"/>
        </w:rPr>
        <w:t>перечнях</w:t>
      </w:r>
      <w:proofErr w:type="gramEnd"/>
      <w:r w:rsidRPr="00E34CA7">
        <w:rPr>
          <w:rFonts w:ascii="Arial" w:eastAsia="Times New Roman" w:hAnsi="Arial" w:cs="Arial"/>
          <w:color w:val="333333"/>
          <w:sz w:val="23"/>
          <w:szCs w:val="23"/>
          <w:lang w:eastAsia="ru-RU"/>
        </w:rPr>
        <w:t xml:space="preserve"> государственных (муниципальных) услуг, сформированных в соответствии с положениями статьи 69.2 Бюджетного кодекса. При этом</w:t>
      </w:r>
      <w:proofErr w:type="gramStart"/>
      <w:r w:rsidRPr="00E34CA7">
        <w:rPr>
          <w:rFonts w:ascii="Arial" w:eastAsia="Times New Roman" w:hAnsi="Arial" w:cs="Arial"/>
          <w:color w:val="333333"/>
          <w:sz w:val="23"/>
          <w:szCs w:val="23"/>
          <w:lang w:eastAsia="ru-RU"/>
        </w:rPr>
        <w:t>,</w:t>
      </w:r>
      <w:proofErr w:type="gramEnd"/>
      <w:r w:rsidRPr="00E34CA7">
        <w:rPr>
          <w:rFonts w:ascii="Arial" w:eastAsia="Times New Roman" w:hAnsi="Arial" w:cs="Arial"/>
          <w:color w:val="333333"/>
          <w:sz w:val="23"/>
          <w:szCs w:val="23"/>
          <w:lang w:eastAsia="ru-RU"/>
        </w:rPr>
        <w:t xml:space="preserve"> в отношении услуг, планируемых к исполнению с применением государственного (муниципального) задания, указываются услуги, включенные в утвержденные задания, в отношении услуг, планируемых к исполнению с использованием социального сертификата, указываются услуги, определенные в Решении.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Об исполнителях услуг</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Реестр исполнителей государственных (муниципальных) услуг в социальной сфере формируется в соответствии с частью 1 статьи 9 Федерального закона N 189-ФЗ и постановлением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w:t>
      </w:r>
      <w:proofErr w:type="gramEnd"/>
      <w:r w:rsidRPr="00E34CA7">
        <w:rPr>
          <w:rFonts w:ascii="Arial" w:eastAsia="Times New Roman" w:hAnsi="Arial" w:cs="Arial"/>
          <w:color w:val="333333"/>
          <w:sz w:val="23"/>
          <w:szCs w:val="23"/>
          <w:lang w:eastAsia="ru-RU"/>
        </w:rPr>
        <w:t xml:space="preserve">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Включение исполнителей услуги в Реестр исполнителей государственной (муниципальной) услуги "Реализация дополнительных общеразвивающих программ" (далее -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Реестр исполнителей услуги включаются исполнители, имеющие в соответствии с Федеральным законом Российской Федерации от 29 декабря 2012 г. N 273-ФЗ "Об образовании в Российской Федерации" право на осуществление образовательной деятельности по реализации дополнительных общеобразовательных программ, в том числе имеющие соответствующую лицензию.</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lastRenderedPageBreak/>
        <w:t>О требованиях к условиям и порядку оказания государственной (муниципальной) услуги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В соответствии со статьей 5 Федерального закона N 189-ФЗ требования к условиям и порядку оказания государственной (муниципальной) услуги в социальной сфере разрабатываются и утверждаются уполномоченным органом исполнительной власти субъекта Российской Федерации (органом местного самоуправления, отвечающего за образование). Федеральным оператором внедрения Целевой модели ФГБУК "Всероссийский центр развития художественного творчества и гуманитарных технологий" по согласованию с </w:t>
      </w:r>
      <w:proofErr w:type="spellStart"/>
      <w:r w:rsidRPr="00E34CA7">
        <w:rPr>
          <w:rFonts w:ascii="Arial" w:eastAsia="Times New Roman" w:hAnsi="Arial" w:cs="Arial"/>
          <w:color w:val="333333"/>
          <w:sz w:val="23"/>
          <w:szCs w:val="23"/>
          <w:lang w:eastAsia="ru-RU"/>
        </w:rPr>
        <w:t>Минпросвещения</w:t>
      </w:r>
      <w:proofErr w:type="spellEnd"/>
      <w:r w:rsidRPr="00E34CA7">
        <w:rPr>
          <w:rFonts w:ascii="Arial" w:eastAsia="Times New Roman" w:hAnsi="Arial" w:cs="Arial"/>
          <w:color w:val="333333"/>
          <w:sz w:val="23"/>
          <w:szCs w:val="23"/>
          <w:lang w:eastAsia="ru-RU"/>
        </w:rPr>
        <w:t xml:space="preserve"> России запланирована подготовка типового правового акта, утверждающего условия и порядок оказания услуги.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 xml:space="preserve">Письмом </w:t>
      </w:r>
      <w:proofErr w:type="spellStart"/>
      <w:r w:rsidRPr="00E34CA7">
        <w:rPr>
          <w:rFonts w:ascii="Arial" w:eastAsia="Times New Roman" w:hAnsi="Arial" w:cs="Arial"/>
          <w:color w:val="333333"/>
          <w:sz w:val="23"/>
          <w:szCs w:val="23"/>
          <w:lang w:eastAsia="ru-RU"/>
        </w:rPr>
        <w:t>Минобрнауки</w:t>
      </w:r>
      <w:proofErr w:type="spellEnd"/>
      <w:r w:rsidRPr="00E34CA7">
        <w:rPr>
          <w:rFonts w:ascii="Arial" w:eastAsia="Times New Roman" w:hAnsi="Arial" w:cs="Arial"/>
          <w:color w:val="333333"/>
          <w:sz w:val="23"/>
          <w:szCs w:val="23"/>
          <w:lang w:eastAsia="ru-RU"/>
        </w:rPr>
        <w:t xml:space="preserve"> России от 28 апреля 2017 г. N ВК-1232/09 "О направлении методических рекомендаций по организации независимой оценки качества дополнительного образования детей" предусмотрено, что обеспечение качества дополнительного образования возможно, в том числе с применением независимой оценки качества общеобразовательных программ (общественной экспертизы) (абзац 2 Раздела III "Независимая оценка качества дополнительных общеобразовательных программ (общественная экспертиза)".</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 этой связи условия и порядок реализации образовательных программ в соответствии с положениями статьи 22 Федерального закона от 21 июля 2014 г. N 212-ФЗ "Об основах общественного контроля в Российской Федерации" будут включать общественную экспертизу.</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 xml:space="preserve">Если программы уже ранее получили положительное заключение по итогам прохождения процедуры общественной экспертизы качества дополнительных общеразвивающих </w:t>
      </w:r>
      <w:proofErr w:type="gramStart"/>
      <w:r w:rsidRPr="00E34CA7">
        <w:rPr>
          <w:rFonts w:ascii="Arial" w:eastAsia="Times New Roman" w:hAnsi="Arial" w:cs="Arial"/>
          <w:color w:val="333333"/>
          <w:sz w:val="23"/>
          <w:szCs w:val="23"/>
          <w:lang w:eastAsia="ru-RU"/>
        </w:rPr>
        <w:t>программ</w:t>
      </w:r>
      <w:proofErr w:type="gramEnd"/>
      <w:r w:rsidRPr="00E34CA7">
        <w:rPr>
          <w:rFonts w:ascii="Arial" w:eastAsia="Times New Roman" w:hAnsi="Arial" w:cs="Arial"/>
          <w:color w:val="333333"/>
          <w:sz w:val="23"/>
          <w:szCs w:val="23"/>
          <w:lang w:eastAsia="ru-RU"/>
        </w:rPr>
        <w:t xml:space="preserve"> то проведение повторной экспертизы не требуется и указанные программы включаются в государственную информационную систему "Навигатор дополнительного образования". Эту позицию необходимо учесть при разработке и утверждении </w:t>
      </w:r>
      <w:proofErr w:type="gramStart"/>
      <w:r w:rsidRPr="00E34CA7">
        <w:rPr>
          <w:rFonts w:ascii="Arial" w:eastAsia="Times New Roman" w:hAnsi="Arial" w:cs="Arial"/>
          <w:color w:val="333333"/>
          <w:sz w:val="23"/>
          <w:szCs w:val="23"/>
          <w:lang w:eastAsia="ru-RU"/>
        </w:rPr>
        <w:t>порядка включения участников отбора исполнителей услуг</w:t>
      </w:r>
      <w:proofErr w:type="gramEnd"/>
      <w:r w:rsidRPr="00E34CA7">
        <w:rPr>
          <w:rFonts w:ascii="Arial" w:eastAsia="Times New Roman" w:hAnsi="Arial" w:cs="Arial"/>
          <w:color w:val="333333"/>
          <w:sz w:val="23"/>
          <w:szCs w:val="23"/>
          <w:lang w:eastAsia="ru-RU"/>
        </w:rPr>
        <w:t xml:space="preserve"> в реестр исполнителей услуг по социальному сертификату.</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 дополнительных нормативных правовых актах, необходимых к принятию</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В срок до 1 июня 2023 года органам власти субъекта Российской Федерации (органам местного самоуправления) рекомендуется разработать и утвердить следующие нормативные правовые акты:</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об утверждении Порядка формирования реестра исполнителей государственной (муниципальной) услуги по направлению "реализация дополнительных образовательных программ (за исключением дополнительных предпрофессиональных программ в области искусств) (информация о размещении примерной формы акта на сайте Минфина России будет направлена дополнительно);</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об утверждении порядка формирования в электронном виде социальных сертификатов на получение государственной (муниципальной) услуги по направлению "реализация дополнительных образовательных программ (за исключением дополнительных предпрофессиональных программ в области искусств)" (информация о размещении примерной формы акта на сайте Минфина России будет направлена дополнительно);</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 xml:space="preserve">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w:t>
      </w:r>
      <w:r w:rsidRPr="00E34CA7">
        <w:rPr>
          <w:rFonts w:ascii="Arial" w:eastAsia="Times New Roman" w:hAnsi="Arial" w:cs="Arial"/>
          <w:color w:val="333333"/>
          <w:sz w:val="23"/>
          <w:szCs w:val="23"/>
          <w:lang w:eastAsia="ru-RU"/>
        </w:rPr>
        <w:lastRenderedPageBreak/>
        <w:t>имени соответственно уполномоченного органа, исполнителя государственных (муниципальных) услуг в социальной сфере, соглашений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(информация о размещении</w:t>
      </w:r>
      <w:proofErr w:type="gramEnd"/>
      <w:r w:rsidRPr="00E34CA7">
        <w:rPr>
          <w:rFonts w:ascii="Arial" w:eastAsia="Times New Roman" w:hAnsi="Arial" w:cs="Arial"/>
          <w:color w:val="333333"/>
          <w:sz w:val="23"/>
          <w:szCs w:val="23"/>
          <w:lang w:eastAsia="ru-RU"/>
        </w:rPr>
        <w:t xml:space="preserve"> примерной формы акта на сайте Минфина России будет направлена дополнительно);</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государственных (муниципальных) услуг в социальной сфере в соответствии с социальным сертификатом (Типовой акт размещен на сайте Минфина России по адресу: https://minfin.gov.ru/ru/perfomance/budget/social_tools/social_order/dop/);</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об утверждении типовой формы соглашения, заключаемого по результатам отбора исполнителей государственных (муниципальных) услуг в социальной сфере (Типовой акт размещен на сайте Минфина России по адресу: https://minfin.gov.ru/ru/perfomance/budget/social_tools/social_order/general/).</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Об ответах на вопросы субъектов Российской Федерации</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proofErr w:type="gramStart"/>
      <w:r w:rsidRPr="00E34CA7">
        <w:rPr>
          <w:rFonts w:ascii="Arial" w:eastAsia="Times New Roman" w:hAnsi="Arial" w:cs="Arial"/>
          <w:color w:val="333333"/>
          <w:sz w:val="23"/>
          <w:szCs w:val="23"/>
          <w:lang w:eastAsia="ru-RU"/>
        </w:rPr>
        <w:t>Ответы на часто задаваемые вопросы от субъектов Российской Федерации в части реализации механизмов организации оказания государственных (муниципальных) услуг в социальной сфере, предусмотренных Федеральным Законом N 189-ФЗ, по направлению "реализация дополнительных общеобразовательных программ (за исключением дополнительных предпрофессиональных программ в области искусств)" размещены на сайте Минфина России по адресу: https://minfin.gov.ru/ru/perfomance/budget/social_tools/social_order/dop.</w:t>
      </w:r>
      <w:proofErr w:type="gramEnd"/>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на сайте ФГБУК "Всероссийский центр развития художественного творчества и гуманитарных технологий" (ВЦХТ) по адресу: http://vcht.center/.</w:t>
      </w:r>
    </w:p>
    <w:p w:rsidR="00E34CA7" w:rsidRPr="00E34CA7" w:rsidRDefault="00E34CA7" w:rsidP="00E34CA7">
      <w:pPr>
        <w:shd w:val="clear" w:color="auto" w:fill="FFFFFF"/>
        <w:spacing w:after="255" w:line="270" w:lineRule="atLeast"/>
        <w:rPr>
          <w:rFonts w:ascii="Arial" w:eastAsia="Times New Roman" w:hAnsi="Arial" w:cs="Arial"/>
          <w:color w:val="333333"/>
          <w:sz w:val="23"/>
          <w:szCs w:val="23"/>
          <w:lang w:eastAsia="ru-RU"/>
        </w:rPr>
      </w:pPr>
      <w:r w:rsidRPr="00E34CA7">
        <w:rPr>
          <w:rFonts w:ascii="Arial" w:eastAsia="Times New Roman" w:hAnsi="Arial" w:cs="Arial"/>
          <w:color w:val="333333"/>
          <w:sz w:val="23"/>
          <w:szCs w:val="23"/>
          <w:lang w:eastAsia="ru-RU"/>
        </w:rPr>
        <w:t>Приложение</w:t>
      </w:r>
    </w:p>
    <w:tbl>
      <w:tblPr>
        <w:tblW w:w="0" w:type="auto"/>
        <w:tblCellMar>
          <w:top w:w="15" w:type="dxa"/>
          <w:left w:w="15" w:type="dxa"/>
          <w:bottom w:w="15" w:type="dxa"/>
          <w:right w:w="15" w:type="dxa"/>
        </w:tblCellMar>
        <w:tblLook w:val="04A0" w:firstRow="1" w:lastRow="0" w:firstColumn="1" w:lastColumn="0" w:noHBand="0" w:noVBand="1"/>
      </w:tblPr>
      <w:tblGrid>
        <w:gridCol w:w="1357"/>
        <w:gridCol w:w="2161"/>
        <w:gridCol w:w="2161"/>
        <w:gridCol w:w="1545"/>
        <w:gridCol w:w="2161"/>
      </w:tblGrid>
      <w:tr w:rsidR="00E34CA7" w:rsidRPr="00E34CA7" w:rsidTr="00E34CA7">
        <w:tc>
          <w:tcPr>
            <w:tcW w:w="0" w:type="auto"/>
            <w:vMerge w:val="restart"/>
            <w:hideMark/>
          </w:tcPr>
          <w:p w:rsidR="00E34CA7" w:rsidRPr="00E34CA7" w:rsidRDefault="00E34CA7" w:rsidP="00E34CA7">
            <w:pPr>
              <w:spacing w:after="0" w:line="240" w:lineRule="auto"/>
              <w:rPr>
                <w:rFonts w:ascii="Times New Roman" w:eastAsia="Times New Roman" w:hAnsi="Times New Roman" w:cs="Times New Roman"/>
                <w:b/>
                <w:bCs/>
                <w:sz w:val="24"/>
                <w:szCs w:val="24"/>
                <w:lang w:eastAsia="ru-RU"/>
              </w:rPr>
            </w:pPr>
            <w:r w:rsidRPr="00E34CA7">
              <w:rPr>
                <w:rFonts w:ascii="Times New Roman" w:eastAsia="Times New Roman" w:hAnsi="Times New Roman" w:cs="Times New Roman"/>
                <w:b/>
                <w:bCs/>
                <w:sz w:val="24"/>
                <w:szCs w:val="24"/>
                <w:lang w:eastAsia="ru-RU"/>
              </w:rPr>
              <w:t>   </w:t>
            </w:r>
          </w:p>
        </w:tc>
        <w:tc>
          <w:tcPr>
            <w:tcW w:w="0" w:type="auto"/>
            <w:gridSpan w:val="4"/>
            <w:hideMark/>
          </w:tcPr>
          <w:p w:rsidR="00E34CA7" w:rsidRPr="00E34CA7" w:rsidRDefault="00E34CA7" w:rsidP="00E34CA7">
            <w:pPr>
              <w:spacing w:after="0" w:line="240" w:lineRule="auto"/>
              <w:rPr>
                <w:rFonts w:ascii="Times New Roman" w:eastAsia="Times New Roman" w:hAnsi="Times New Roman" w:cs="Times New Roman"/>
                <w:b/>
                <w:bCs/>
                <w:sz w:val="24"/>
                <w:szCs w:val="24"/>
                <w:lang w:eastAsia="ru-RU"/>
              </w:rPr>
            </w:pPr>
            <w:r w:rsidRPr="00E34CA7">
              <w:rPr>
                <w:rFonts w:ascii="Times New Roman" w:eastAsia="Times New Roman" w:hAnsi="Times New Roman" w:cs="Times New Roman"/>
                <w:b/>
                <w:bCs/>
                <w:sz w:val="24"/>
                <w:szCs w:val="24"/>
                <w:lang w:eastAsia="ru-RU"/>
              </w:rPr>
              <w:t>Варианты реализации на территории субъекта Российской Федерации Закона о социальном заказе</w:t>
            </w:r>
          </w:p>
        </w:tc>
      </w:tr>
      <w:tr w:rsidR="00E34CA7" w:rsidRPr="00E34CA7" w:rsidTr="00E34CA7">
        <w:tc>
          <w:tcPr>
            <w:tcW w:w="0" w:type="auto"/>
            <w:vMerge/>
            <w:vAlign w:val="center"/>
            <w:hideMark/>
          </w:tcPr>
          <w:p w:rsidR="00E34CA7" w:rsidRPr="00E34CA7" w:rsidRDefault="00E34CA7" w:rsidP="00E34CA7">
            <w:pPr>
              <w:spacing w:after="0" w:line="240" w:lineRule="auto"/>
              <w:rPr>
                <w:rFonts w:ascii="Times New Roman" w:eastAsia="Times New Roman" w:hAnsi="Times New Roman" w:cs="Times New Roman"/>
                <w:b/>
                <w:bCs/>
                <w:sz w:val="24"/>
                <w:szCs w:val="24"/>
                <w:lang w:eastAsia="ru-RU"/>
              </w:rPr>
            </w:pP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 xml:space="preserve">Не </w:t>
            </w:r>
            <w:proofErr w:type="gramStart"/>
            <w:r w:rsidRPr="00E34CA7">
              <w:rPr>
                <w:rFonts w:ascii="Times New Roman" w:eastAsia="Times New Roman" w:hAnsi="Times New Roman" w:cs="Times New Roman"/>
                <w:sz w:val="24"/>
                <w:szCs w:val="24"/>
                <w:lang w:eastAsia="ru-RU"/>
              </w:rPr>
              <w:t>применяется Закон о социальном заказе Внедрена</w:t>
            </w:r>
            <w:proofErr w:type="gramEnd"/>
            <w:r w:rsidRPr="00E34CA7">
              <w:rPr>
                <w:rFonts w:ascii="Times New Roman" w:eastAsia="Times New Roman" w:hAnsi="Times New Roman" w:cs="Times New Roman"/>
                <w:sz w:val="24"/>
                <w:szCs w:val="24"/>
                <w:lang w:eastAsia="ru-RU"/>
              </w:rPr>
              <w:t xml:space="preserve"> система ПФДО до 1 января 2023 г.</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Не применяется Закон о социальном заказе</w:t>
            </w:r>
            <w:proofErr w:type="gramStart"/>
            <w:r w:rsidRPr="00E34CA7">
              <w:rPr>
                <w:rFonts w:ascii="Times New Roman" w:eastAsia="Times New Roman" w:hAnsi="Times New Roman" w:cs="Times New Roman"/>
                <w:sz w:val="24"/>
                <w:szCs w:val="24"/>
                <w:lang w:eastAsia="ru-RU"/>
              </w:rPr>
              <w:t xml:space="preserve"> Н</w:t>
            </w:r>
            <w:proofErr w:type="gramEnd"/>
            <w:r w:rsidRPr="00E34CA7">
              <w:rPr>
                <w:rFonts w:ascii="Times New Roman" w:eastAsia="Times New Roman" w:hAnsi="Times New Roman" w:cs="Times New Roman"/>
                <w:sz w:val="24"/>
                <w:szCs w:val="24"/>
                <w:lang w:eastAsia="ru-RU"/>
              </w:rPr>
              <w:t>е внедрена система ПФДО до 1 января 2023 г</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Применяется Закон о социальном заказе</w:t>
            </w:r>
            <w:proofErr w:type="gramStart"/>
            <w:r w:rsidRPr="00E34CA7">
              <w:rPr>
                <w:rFonts w:ascii="Times New Roman" w:eastAsia="Times New Roman" w:hAnsi="Times New Roman" w:cs="Times New Roman"/>
                <w:sz w:val="24"/>
                <w:szCs w:val="24"/>
                <w:lang w:eastAsia="ru-RU"/>
              </w:rPr>
              <w:t xml:space="preserve"> Н</w:t>
            </w:r>
            <w:proofErr w:type="gramEnd"/>
            <w:r w:rsidRPr="00E34CA7">
              <w:rPr>
                <w:rFonts w:ascii="Times New Roman" w:eastAsia="Times New Roman" w:hAnsi="Times New Roman" w:cs="Times New Roman"/>
                <w:sz w:val="24"/>
                <w:szCs w:val="24"/>
                <w:lang w:eastAsia="ru-RU"/>
              </w:rPr>
              <w:t>е внедрена система ПФДО до 1 января 2023 г.</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proofErr w:type="gramStart"/>
            <w:r w:rsidRPr="00E34CA7">
              <w:rPr>
                <w:rFonts w:ascii="Times New Roman" w:eastAsia="Times New Roman" w:hAnsi="Times New Roman" w:cs="Times New Roman"/>
                <w:sz w:val="24"/>
                <w:szCs w:val="24"/>
                <w:lang w:eastAsia="ru-RU"/>
              </w:rPr>
              <w:t>Применяется Закон о социальном заказе Внедрена</w:t>
            </w:r>
            <w:proofErr w:type="gramEnd"/>
            <w:r w:rsidRPr="00E34CA7">
              <w:rPr>
                <w:rFonts w:ascii="Times New Roman" w:eastAsia="Times New Roman" w:hAnsi="Times New Roman" w:cs="Times New Roman"/>
                <w:sz w:val="24"/>
                <w:szCs w:val="24"/>
                <w:lang w:eastAsia="ru-RU"/>
              </w:rPr>
              <w:t xml:space="preserve"> система ПФДО до 1 января 2023 г</w:t>
            </w:r>
          </w:p>
        </w:tc>
      </w:tr>
      <w:tr w:rsidR="00E34CA7" w:rsidRPr="00E34CA7" w:rsidTr="00E34CA7">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Нормативно-правовое регулирование</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 xml:space="preserve">Внесение изменений в акт "О внедрении системы персонифицированного финансирования дополнительного образования детей" </w:t>
            </w:r>
            <w:r w:rsidRPr="00E34CA7">
              <w:rPr>
                <w:rFonts w:ascii="Times New Roman" w:eastAsia="Times New Roman" w:hAnsi="Times New Roman" w:cs="Times New Roman"/>
                <w:sz w:val="24"/>
                <w:szCs w:val="24"/>
                <w:lang w:eastAsia="ru-RU"/>
              </w:rPr>
              <w:lastRenderedPageBreak/>
              <w:t>для приведения в соответствие с проектом типового акта</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lastRenderedPageBreak/>
              <w:t xml:space="preserve">"О внедрении системы персонифицированного финансирования дополнительного образования детей" в субъекте </w:t>
            </w:r>
            <w:r w:rsidRPr="00E34CA7">
              <w:rPr>
                <w:rFonts w:ascii="Times New Roman" w:eastAsia="Times New Roman" w:hAnsi="Times New Roman" w:cs="Times New Roman"/>
                <w:sz w:val="24"/>
                <w:szCs w:val="24"/>
                <w:lang w:eastAsia="ru-RU"/>
              </w:rPr>
              <w:lastRenderedPageBreak/>
              <w:t>Российской Федерации</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lastRenderedPageBreak/>
              <w:t xml:space="preserve">О внесении изменений в решение органа государственной власти субъекта </w:t>
            </w:r>
            <w:r w:rsidRPr="00E34CA7">
              <w:rPr>
                <w:rFonts w:ascii="Times New Roman" w:eastAsia="Times New Roman" w:hAnsi="Times New Roman" w:cs="Times New Roman"/>
                <w:sz w:val="24"/>
                <w:szCs w:val="24"/>
                <w:lang w:eastAsia="ru-RU"/>
              </w:rPr>
              <w:lastRenderedPageBreak/>
              <w:t>Российской Федерации, принятого в соответствии с частью 3 статьи 28 Закона о социальном заказе</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lastRenderedPageBreak/>
              <w:t xml:space="preserve">О внесении изменений в некоторые акты: 1. "О внедрении системы персонифицированного финансирования </w:t>
            </w:r>
            <w:r w:rsidRPr="00E34CA7">
              <w:rPr>
                <w:rFonts w:ascii="Times New Roman" w:eastAsia="Times New Roman" w:hAnsi="Times New Roman" w:cs="Times New Roman"/>
                <w:sz w:val="24"/>
                <w:szCs w:val="24"/>
                <w:lang w:eastAsia="ru-RU"/>
              </w:rPr>
              <w:lastRenderedPageBreak/>
              <w:t>дополнительного образования детей" в субъекте Российской Федерации; 2. Решение органа государственной власти субъекта Российской Федерации, принятого в соответствии с частью 3 статьи 28 Закона о социальном заказе.</w:t>
            </w:r>
          </w:p>
        </w:tc>
      </w:tr>
      <w:tr w:rsidR="00E34CA7" w:rsidRPr="00E34CA7" w:rsidTr="00E34CA7">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lastRenderedPageBreak/>
              <w:t>Наименование субъекта Российской Федерации</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proofErr w:type="gramStart"/>
            <w:r w:rsidRPr="00E34CA7">
              <w:rPr>
                <w:rFonts w:ascii="Times New Roman" w:eastAsia="Times New Roman" w:hAnsi="Times New Roman" w:cs="Times New Roman"/>
                <w:sz w:val="24"/>
                <w:szCs w:val="24"/>
                <w:lang w:eastAsia="ru-RU"/>
              </w:rPr>
              <w:t xml:space="preserve">Амурская область, Архангельская область, Астраханская область, Брянская область, Волгоградская область, Владимирская область, г. Севастополь, Еврейская автономная область, Забайкальский край, Ивановская область, Иркутская область, Кабардино-Балкарская Республика, Калужская область, Карачаево-Черкесская Республика, Кемеровская область - Кузбасс, Кировская область, Краснодарский край, Курганская область, Липецкая область, Магаданская область, Мурманская область, Ненецкий автономный округ, Нижегородская область, Омская </w:t>
            </w:r>
            <w:r w:rsidRPr="00E34CA7">
              <w:rPr>
                <w:rFonts w:ascii="Times New Roman" w:eastAsia="Times New Roman" w:hAnsi="Times New Roman" w:cs="Times New Roman"/>
                <w:sz w:val="24"/>
                <w:szCs w:val="24"/>
                <w:lang w:eastAsia="ru-RU"/>
              </w:rPr>
              <w:lastRenderedPageBreak/>
              <w:t>область, Орловская область, Пензенская область, Республика Алтай, Республика Бурятия, Республика</w:t>
            </w:r>
            <w:proofErr w:type="gramEnd"/>
            <w:r w:rsidRPr="00E34CA7">
              <w:rPr>
                <w:rFonts w:ascii="Times New Roman" w:eastAsia="Times New Roman" w:hAnsi="Times New Roman" w:cs="Times New Roman"/>
                <w:sz w:val="24"/>
                <w:szCs w:val="24"/>
                <w:lang w:eastAsia="ru-RU"/>
              </w:rPr>
              <w:t xml:space="preserve"> </w:t>
            </w:r>
            <w:proofErr w:type="gramStart"/>
            <w:r w:rsidRPr="00E34CA7">
              <w:rPr>
                <w:rFonts w:ascii="Times New Roman" w:eastAsia="Times New Roman" w:hAnsi="Times New Roman" w:cs="Times New Roman"/>
                <w:sz w:val="24"/>
                <w:szCs w:val="24"/>
                <w:lang w:eastAsia="ru-RU"/>
              </w:rPr>
              <w:t>Дагестан, Республика Калмыкия, Республика Коми, Республика Крым, Республика Марий Эл, Республика Мордовия, Республика Северная Осетия - Алания, Республика Татарстан (Татарстан), Республика Тыва, Республика Хакасия, Рязанская область, Свердловская область, Смоленская область, Тамбовская область, Тверская область, Томская область, Тульская область, Удмуртская Республика, Чеченская Республика</w:t>
            </w:r>
            <w:proofErr w:type="gramEnd"/>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lastRenderedPageBreak/>
              <w:t xml:space="preserve">Республика Ингушетия, Ростовская область, </w:t>
            </w:r>
            <w:proofErr w:type="gramStart"/>
            <w:r w:rsidRPr="00E34CA7">
              <w:rPr>
                <w:rFonts w:ascii="Times New Roman" w:eastAsia="Times New Roman" w:hAnsi="Times New Roman" w:cs="Times New Roman"/>
                <w:sz w:val="24"/>
                <w:szCs w:val="24"/>
                <w:lang w:eastAsia="ru-RU"/>
              </w:rPr>
              <w:t>Чукотский</w:t>
            </w:r>
            <w:proofErr w:type="gramEnd"/>
            <w:r w:rsidRPr="00E34CA7">
              <w:rPr>
                <w:rFonts w:ascii="Times New Roman" w:eastAsia="Times New Roman" w:hAnsi="Times New Roman" w:cs="Times New Roman"/>
                <w:sz w:val="24"/>
                <w:szCs w:val="24"/>
                <w:lang w:eastAsia="ru-RU"/>
              </w:rPr>
              <w:t xml:space="preserve"> автономный окру</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r w:rsidRPr="00E34CA7">
              <w:rPr>
                <w:rFonts w:ascii="Times New Roman" w:eastAsia="Times New Roman" w:hAnsi="Times New Roman" w:cs="Times New Roman"/>
                <w:sz w:val="24"/>
                <w:szCs w:val="24"/>
                <w:lang w:eastAsia="ru-RU"/>
              </w:rPr>
              <w:t>Санкт-Петербург, Оренбургская область, Челябинская область</w:t>
            </w:r>
          </w:p>
        </w:tc>
        <w:tc>
          <w:tcPr>
            <w:tcW w:w="0" w:type="auto"/>
            <w:hideMark/>
          </w:tcPr>
          <w:p w:rsidR="00E34CA7" w:rsidRPr="00E34CA7" w:rsidRDefault="00E34CA7" w:rsidP="00E34CA7">
            <w:pPr>
              <w:spacing w:after="0" w:line="240" w:lineRule="auto"/>
              <w:rPr>
                <w:rFonts w:ascii="Times New Roman" w:eastAsia="Times New Roman" w:hAnsi="Times New Roman" w:cs="Times New Roman"/>
                <w:sz w:val="24"/>
                <w:szCs w:val="24"/>
                <w:lang w:eastAsia="ru-RU"/>
              </w:rPr>
            </w:pPr>
            <w:proofErr w:type="gramStart"/>
            <w:r w:rsidRPr="00E34CA7">
              <w:rPr>
                <w:rFonts w:ascii="Times New Roman" w:eastAsia="Times New Roman" w:hAnsi="Times New Roman" w:cs="Times New Roman"/>
                <w:sz w:val="24"/>
                <w:szCs w:val="24"/>
                <w:lang w:eastAsia="ru-RU"/>
              </w:rPr>
              <w:t xml:space="preserve">Алтайский край, Белгородская область, Вологодская область, Воронежская область, Калининградская область, Камчатский край, Костромская область, Красноярский край, Курская область, Ленинградская область, Московская область, Новгородская область, Новосибирская область, Пермский край, Приморский край, Псковская область, Республика Адыгея (Адыгея), Республика Башкортостан, Республика Карелия, Республика Саха (Якутия), Самарская область, Саратовская область, Сахалинская область, </w:t>
            </w:r>
            <w:r w:rsidRPr="00E34CA7">
              <w:rPr>
                <w:rFonts w:ascii="Times New Roman" w:eastAsia="Times New Roman" w:hAnsi="Times New Roman" w:cs="Times New Roman"/>
                <w:sz w:val="24"/>
                <w:szCs w:val="24"/>
                <w:lang w:eastAsia="ru-RU"/>
              </w:rPr>
              <w:lastRenderedPageBreak/>
              <w:t>Ставропольский край, Тюменская область, Ульяновская область, Хабаровский край, Ханты-Мансийский автономный округ - Югра</w:t>
            </w:r>
            <w:proofErr w:type="gramEnd"/>
            <w:r w:rsidRPr="00E34CA7">
              <w:rPr>
                <w:rFonts w:ascii="Times New Roman" w:eastAsia="Times New Roman" w:hAnsi="Times New Roman" w:cs="Times New Roman"/>
                <w:sz w:val="24"/>
                <w:szCs w:val="24"/>
                <w:lang w:eastAsia="ru-RU"/>
              </w:rPr>
              <w:t>, Чувашская Республика - Чувашия, Ямало-Ненецкий автономный округ, Ярославская область</w:t>
            </w:r>
          </w:p>
        </w:tc>
      </w:tr>
    </w:tbl>
    <w:p w:rsidR="008B4075" w:rsidRDefault="008B4075"/>
    <w:sectPr w:rsidR="008B4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AD3"/>
    <w:rsid w:val="008B4075"/>
    <w:rsid w:val="00CD1AD3"/>
    <w:rsid w:val="00E34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608906">
      <w:bodyDiv w:val="1"/>
      <w:marLeft w:val="0"/>
      <w:marRight w:val="0"/>
      <w:marTop w:val="0"/>
      <w:marBottom w:val="0"/>
      <w:divBdr>
        <w:top w:val="none" w:sz="0" w:space="0" w:color="auto"/>
        <w:left w:val="none" w:sz="0" w:space="0" w:color="auto"/>
        <w:bottom w:val="none" w:sz="0" w:space="0" w:color="auto"/>
        <w:right w:val="none" w:sz="0" w:space="0" w:color="auto"/>
      </w:divBdr>
      <w:divsChild>
        <w:div w:id="251396377">
          <w:marLeft w:val="0"/>
          <w:marRight w:val="0"/>
          <w:marTop w:val="0"/>
          <w:marBottom w:val="180"/>
          <w:divBdr>
            <w:top w:val="none" w:sz="0" w:space="0" w:color="auto"/>
            <w:left w:val="none" w:sz="0" w:space="0" w:color="auto"/>
            <w:bottom w:val="none" w:sz="0" w:space="0" w:color="auto"/>
            <w:right w:val="none" w:sz="0" w:space="0" w:color="auto"/>
          </w:divBdr>
        </w:div>
        <w:div w:id="873276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0669054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406690549/" TargetMode="External"/><Relationship Id="rId5" Type="http://schemas.openxmlformats.org/officeDocument/2006/relationships/hyperlink" Target="https://www.garant.ru/products/ipo/prime/doc/40669054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3990</Words>
  <Characters>22748</Characters>
  <Application>Microsoft Office Word</Application>
  <DocSecurity>0</DocSecurity>
  <Lines>189</Lines>
  <Paragraphs>53</Paragraphs>
  <ScaleCrop>false</ScaleCrop>
  <Company/>
  <LinksUpToDate>false</LinksUpToDate>
  <CharactersWithSpaces>26685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2024-02-05T07:06:00Z</dcterms:created>
  <dcterms:modified xsi:type="dcterms:W3CDTF">2024-02-05T07:07:00Z</dcterms:modified>
</cp:coreProperties>
</file>