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F6" w:rsidRDefault="00F75DBE">
      <w:pPr>
        <w:pStyle w:val="a3"/>
        <w:ind w:left="195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56662" cy="6076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62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9F6" w:rsidRDefault="003959F6">
      <w:pPr>
        <w:pStyle w:val="a3"/>
        <w:spacing w:before="3"/>
        <w:rPr>
          <w:sz w:val="15"/>
        </w:rPr>
      </w:pPr>
    </w:p>
    <w:p w:rsidR="003959F6" w:rsidRDefault="003959F6">
      <w:pPr>
        <w:rPr>
          <w:sz w:val="15"/>
        </w:rPr>
        <w:sectPr w:rsidR="003959F6">
          <w:type w:val="continuous"/>
          <w:pgSz w:w="11910" w:h="16840"/>
          <w:pgMar w:top="1160" w:right="460" w:bottom="280" w:left="760" w:header="720" w:footer="720" w:gutter="0"/>
          <w:cols w:space="720"/>
        </w:sectPr>
      </w:pPr>
    </w:p>
    <w:p w:rsidR="003959F6" w:rsidRDefault="00F75DBE">
      <w:pPr>
        <w:spacing w:before="93"/>
        <w:ind w:left="68"/>
        <w:jc w:val="center"/>
        <w:rPr>
          <w:sz w:val="16"/>
        </w:rPr>
      </w:pPr>
      <w:r>
        <w:rPr>
          <w:sz w:val="16"/>
        </w:rPr>
        <w:lastRenderedPageBreak/>
        <w:t>ПРАВИТЕЛЬСТВО РОСТОВСКОЙ ОБЛАСТИ</w:t>
      </w:r>
    </w:p>
    <w:p w:rsidR="003959F6" w:rsidRDefault="003959F6">
      <w:pPr>
        <w:pStyle w:val="a3"/>
        <w:rPr>
          <w:sz w:val="26"/>
        </w:rPr>
      </w:pPr>
    </w:p>
    <w:p w:rsidR="003959F6" w:rsidRDefault="00F75DBE">
      <w:pPr>
        <w:pStyle w:val="1"/>
        <w:ind w:firstLine="0"/>
      </w:pPr>
      <w:r>
        <w:t>МИНИСТЕРСТВО</w:t>
      </w:r>
    </w:p>
    <w:p w:rsidR="003959F6" w:rsidRDefault="00F75DBE">
      <w:pPr>
        <w:ind w:left="76"/>
        <w:jc w:val="center"/>
        <w:rPr>
          <w:b/>
          <w:sz w:val="24"/>
        </w:rPr>
      </w:pPr>
      <w:r>
        <w:rPr>
          <w:b/>
          <w:sz w:val="24"/>
        </w:rPr>
        <w:t>ОБЩЕГО 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ПРОФЕССИОНАЛЬНОГО</w:t>
      </w:r>
    </w:p>
    <w:p w:rsidR="003959F6" w:rsidRDefault="00F75DBE">
      <w:pPr>
        <w:pStyle w:val="1"/>
        <w:ind w:left="635" w:right="556"/>
      </w:pPr>
      <w:r>
        <w:t>ОБРАЗОВАНИЯ РОСТОВСКОЙ</w:t>
      </w:r>
      <w:r>
        <w:rPr>
          <w:spacing w:val="4"/>
        </w:rPr>
        <w:t xml:space="preserve"> </w:t>
      </w:r>
      <w:r>
        <w:rPr>
          <w:spacing w:val="-3"/>
        </w:rPr>
        <w:t>ОБЛАСТИ</w:t>
      </w:r>
    </w:p>
    <w:p w:rsidR="003959F6" w:rsidRDefault="00F75DBE">
      <w:pPr>
        <w:ind w:left="76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минобразование</w:t>
      </w:r>
      <w:proofErr w:type="spellEnd"/>
      <w:r>
        <w:rPr>
          <w:sz w:val="20"/>
        </w:rPr>
        <w:t xml:space="preserve"> Ростовской</w:t>
      </w:r>
      <w:r>
        <w:rPr>
          <w:spacing w:val="-9"/>
          <w:sz w:val="20"/>
        </w:rPr>
        <w:t xml:space="preserve"> </w:t>
      </w:r>
      <w:r>
        <w:rPr>
          <w:sz w:val="20"/>
        </w:rPr>
        <w:t>области)</w:t>
      </w:r>
    </w:p>
    <w:p w:rsidR="003959F6" w:rsidRDefault="00F75DBE">
      <w:pPr>
        <w:spacing w:before="184"/>
        <w:ind w:left="218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>, 31, г. Ростов-на-Дону, 344082</w:t>
      </w:r>
    </w:p>
    <w:p w:rsidR="003959F6" w:rsidRDefault="00F75DBE">
      <w:pPr>
        <w:ind w:left="218"/>
        <w:jc w:val="center"/>
        <w:rPr>
          <w:sz w:val="19"/>
        </w:rPr>
      </w:pPr>
      <w:r>
        <w:rPr>
          <w:sz w:val="19"/>
        </w:rPr>
        <w:t>тел. (863) 240-34-97 факс (863) 267-86-44</w:t>
      </w:r>
    </w:p>
    <w:p w:rsidR="003959F6" w:rsidRDefault="00F75DBE">
      <w:pPr>
        <w:ind w:left="218"/>
        <w:jc w:val="center"/>
        <w:rPr>
          <w:sz w:val="24"/>
        </w:rPr>
      </w:pPr>
      <w:r>
        <w:rPr>
          <w:sz w:val="19"/>
        </w:rPr>
        <w:t>E-</w:t>
      </w:r>
      <w:proofErr w:type="spellStart"/>
      <w:r>
        <w:rPr>
          <w:sz w:val="19"/>
        </w:rPr>
        <w:t>mail</w:t>
      </w:r>
      <w:proofErr w:type="spellEnd"/>
      <w:r>
        <w:rPr>
          <w:sz w:val="19"/>
        </w:rPr>
        <w:t xml:space="preserve">: </w:t>
      </w:r>
      <w:hyperlink r:id="rId6">
        <w:r>
          <w:rPr>
            <w:sz w:val="24"/>
          </w:rPr>
          <w:t>min@rostobr.ru</w:t>
        </w:r>
      </w:hyperlink>
    </w:p>
    <w:p w:rsidR="003959F6" w:rsidRDefault="00F75DBE">
      <w:pPr>
        <w:ind w:left="218"/>
        <w:jc w:val="center"/>
        <w:rPr>
          <w:sz w:val="19"/>
        </w:rPr>
      </w:pPr>
      <w:hyperlink r:id="rId7">
        <w:r>
          <w:rPr>
            <w:sz w:val="19"/>
          </w:rPr>
          <w:t>http://www.rostobr.ru</w:t>
        </w:r>
      </w:hyperlink>
    </w:p>
    <w:p w:rsidR="003959F6" w:rsidRDefault="003959F6">
      <w:pPr>
        <w:pStyle w:val="a3"/>
        <w:rPr>
          <w:sz w:val="20"/>
        </w:rPr>
      </w:pPr>
    </w:p>
    <w:p w:rsidR="003959F6" w:rsidRPr="00F75DBE" w:rsidRDefault="00F75DBE" w:rsidP="00F75DBE">
      <w:pPr>
        <w:pStyle w:val="a3"/>
        <w:jc w:val="center"/>
        <w:rPr>
          <w:sz w:val="20"/>
          <w:u w:val="single"/>
        </w:rPr>
      </w:pPr>
      <w:r>
        <w:rPr>
          <w:sz w:val="20"/>
          <w:u w:val="single"/>
        </w:rPr>
        <w:t xml:space="preserve">24/3.1-16280 от </w:t>
      </w:r>
      <w:bookmarkStart w:id="0" w:name="_GoBack"/>
      <w:bookmarkEnd w:id="0"/>
      <w:r>
        <w:rPr>
          <w:sz w:val="20"/>
          <w:u w:val="single"/>
        </w:rPr>
        <w:t xml:space="preserve"> 22.10.2020</w:t>
      </w:r>
    </w:p>
    <w:p w:rsidR="003959F6" w:rsidRDefault="003959F6">
      <w:pPr>
        <w:pStyle w:val="a3"/>
        <w:rPr>
          <w:sz w:val="17"/>
        </w:rPr>
      </w:pPr>
    </w:p>
    <w:p w:rsidR="003959F6" w:rsidRDefault="00F75DBE">
      <w:pPr>
        <w:tabs>
          <w:tab w:val="left" w:pos="2069"/>
          <w:tab w:val="left" w:pos="4337"/>
        </w:tabs>
        <w:ind w:left="44"/>
        <w:jc w:val="center"/>
        <w:rPr>
          <w:sz w:val="19"/>
        </w:rPr>
      </w:pPr>
      <w:r>
        <w:rPr>
          <w:sz w:val="19"/>
        </w:rPr>
        <w:t>на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от 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959F6" w:rsidRDefault="00F75DBE">
      <w:pPr>
        <w:pStyle w:val="a3"/>
        <w:spacing w:before="1"/>
        <w:rPr>
          <w:sz w:val="36"/>
        </w:rPr>
      </w:pPr>
      <w:r>
        <w:br w:type="column"/>
      </w:r>
    </w:p>
    <w:p w:rsidR="003959F6" w:rsidRDefault="00F75DBE">
      <w:pPr>
        <w:pStyle w:val="a3"/>
        <w:ind w:left="116" w:right="1400" w:firstLine="1061"/>
      </w:pPr>
      <w:r>
        <w:t>Главам муниципальных районов</w:t>
      </w:r>
    </w:p>
    <w:p w:rsidR="003959F6" w:rsidRDefault="00F75DBE">
      <w:pPr>
        <w:pStyle w:val="a3"/>
        <w:ind w:left="377"/>
      </w:pPr>
      <w:r>
        <w:t>и городских округов</w:t>
      </w:r>
    </w:p>
    <w:p w:rsidR="003959F6" w:rsidRDefault="003959F6">
      <w:pPr>
        <w:sectPr w:rsidR="003959F6">
          <w:type w:val="continuous"/>
          <w:pgSz w:w="11910" w:h="16840"/>
          <w:pgMar w:top="1160" w:right="460" w:bottom="280" w:left="760" w:header="720" w:footer="720" w:gutter="0"/>
          <w:cols w:num="2" w:space="720" w:equalWidth="0">
            <w:col w:w="4708" w:space="1463"/>
            <w:col w:w="4519"/>
          </w:cols>
        </w:sectPr>
      </w:pPr>
    </w:p>
    <w:p w:rsidR="003959F6" w:rsidRDefault="003959F6">
      <w:pPr>
        <w:pStyle w:val="a3"/>
        <w:rPr>
          <w:sz w:val="20"/>
        </w:rPr>
      </w:pPr>
    </w:p>
    <w:p w:rsidR="003959F6" w:rsidRDefault="003959F6">
      <w:pPr>
        <w:pStyle w:val="a3"/>
        <w:rPr>
          <w:sz w:val="20"/>
        </w:rPr>
      </w:pPr>
    </w:p>
    <w:p w:rsidR="003959F6" w:rsidRDefault="003959F6">
      <w:pPr>
        <w:pStyle w:val="a3"/>
        <w:rPr>
          <w:sz w:val="20"/>
        </w:rPr>
      </w:pPr>
    </w:p>
    <w:p w:rsidR="003959F6" w:rsidRDefault="003959F6">
      <w:pPr>
        <w:pStyle w:val="a3"/>
        <w:spacing w:before="4"/>
        <w:rPr>
          <w:sz w:val="16"/>
        </w:rPr>
      </w:pPr>
    </w:p>
    <w:p w:rsidR="003959F6" w:rsidRDefault="00F75DBE">
      <w:pPr>
        <w:pStyle w:val="a3"/>
        <w:spacing w:before="88"/>
        <w:ind w:left="374" w:right="104" w:firstLine="709"/>
        <w:jc w:val="both"/>
      </w:pPr>
      <w:r>
        <w:t xml:space="preserve">В связи с участившимися обращениями граждан по вопросу установления сроков каникул в общеобразовательных организациях Ростовской области, в том числе в условиях распространения новой коронавирусной инфекции (COVID-19), </w:t>
      </w:r>
      <w:proofErr w:type="spellStart"/>
      <w:r>
        <w:t>минобразование</w:t>
      </w:r>
      <w:proofErr w:type="spellEnd"/>
      <w:r>
        <w:t xml:space="preserve"> Ростовской области инф</w:t>
      </w:r>
      <w:r>
        <w:t>ормирует.</w:t>
      </w:r>
    </w:p>
    <w:p w:rsidR="003959F6" w:rsidRDefault="00F75DBE">
      <w:pPr>
        <w:pStyle w:val="a3"/>
        <w:ind w:left="374" w:right="104" w:firstLine="709"/>
        <w:jc w:val="both"/>
      </w:pPr>
      <w:proofErr w:type="gramStart"/>
      <w:r>
        <w:t>К компетенции образовательной организации в установленной сфере деятельности относится разработка и утверждение образовательных программ образовательной организации (п. 6 ч. 3 ст. 28 Федерального закона от 29.12.2012</w:t>
      </w:r>
      <w:proofErr w:type="gramEnd"/>
    </w:p>
    <w:p w:rsidR="003959F6" w:rsidRDefault="00F75DBE">
      <w:pPr>
        <w:pStyle w:val="a3"/>
        <w:ind w:left="374" w:right="105"/>
        <w:jc w:val="both"/>
      </w:pPr>
      <w:proofErr w:type="gramStart"/>
      <w:r>
        <w:t>№ 273-ФЗ «Об образовании в Ро</w:t>
      </w:r>
      <w:r>
        <w:t>ссийской Федерации», далее – Федеральный закон об образовании).</w:t>
      </w:r>
      <w:proofErr w:type="gramEnd"/>
    </w:p>
    <w:p w:rsidR="003959F6" w:rsidRDefault="00F75DBE">
      <w:pPr>
        <w:pStyle w:val="a3"/>
        <w:ind w:left="374" w:right="104" w:firstLine="709"/>
        <w:jc w:val="both"/>
      </w:pPr>
      <w:r>
        <w:t>Основная образовательная программа общеобразовательной организации включает учебный план, календарный учебный график, рабочие программы учебных предметов, курсов, дисциплин (модулей), оценочны</w:t>
      </w:r>
      <w:r>
        <w:t>е и методические материалы, а также иные компоненты, обеспечивающие воспитание и обучение учащихся,</w:t>
      </w:r>
      <w:r>
        <w:rPr>
          <w:spacing w:val="-1"/>
        </w:rPr>
        <w:t xml:space="preserve"> </w:t>
      </w:r>
      <w:r>
        <w:t>воспитанников.</w:t>
      </w:r>
    </w:p>
    <w:p w:rsidR="003959F6" w:rsidRDefault="00F75DBE">
      <w:pPr>
        <w:pStyle w:val="a3"/>
        <w:ind w:left="374" w:right="106" w:firstLine="709"/>
        <w:jc w:val="both"/>
      </w:pPr>
      <w:r>
        <w:t>Согласно п.17 приказа Минобрнауки России от 30.08.2013 № 1015 «Об утверждении Порядка организации и осуществления образовательной деятельност</w:t>
      </w:r>
      <w:r>
        <w:t>и по основным общеобразовательным программам – образовательным программам начального общего, основного общего и среднего общего образования» учебный год в образовательных организациях начинается 1 сентября и заканчивается в соответствии с учебным планом со</w:t>
      </w:r>
      <w:r>
        <w:t>ответствующей общеобразовательной программы.</w:t>
      </w:r>
    </w:p>
    <w:p w:rsidR="003959F6" w:rsidRDefault="00F75DBE">
      <w:pPr>
        <w:pStyle w:val="a3"/>
        <w:ind w:left="374" w:right="105" w:firstLine="709"/>
        <w:jc w:val="both"/>
      </w:pPr>
      <w:r>
        <w:t>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</w:t>
      </w:r>
      <w:r>
        <w:t xml:space="preserve"> на три месяца.</w:t>
      </w:r>
    </w:p>
    <w:p w:rsidR="003959F6" w:rsidRDefault="003959F6">
      <w:pPr>
        <w:jc w:val="both"/>
        <w:sectPr w:rsidR="003959F6">
          <w:type w:val="continuous"/>
          <w:pgSz w:w="11910" w:h="16840"/>
          <w:pgMar w:top="1160" w:right="460" w:bottom="280" w:left="760" w:header="720" w:footer="720" w:gutter="0"/>
          <w:cols w:space="720"/>
        </w:sectPr>
      </w:pPr>
    </w:p>
    <w:p w:rsidR="003959F6" w:rsidRDefault="00F75DBE">
      <w:pPr>
        <w:pStyle w:val="a3"/>
        <w:spacing w:before="60"/>
        <w:ind w:left="374" w:right="105" w:firstLine="709"/>
        <w:jc w:val="both"/>
      </w:pPr>
      <w:r>
        <w:lastRenderedPageBreak/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3959F6" w:rsidRDefault="00F75DBE">
      <w:pPr>
        <w:pStyle w:val="a3"/>
        <w:ind w:left="374" w:right="105" w:firstLine="709"/>
        <w:jc w:val="both"/>
      </w:pPr>
      <w:r>
        <w:t xml:space="preserve">СанПиН 2.4.2.2821-10 «Санитарно-эпидемиологические требования </w:t>
      </w:r>
      <w:r>
        <w:rPr>
          <w:spacing w:val="-14"/>
        </w:rPr>
        <w:t xml:space="preserve">к </w:t>
      </w:r>
      <w:r>
        <w:t>условиям и организации обучения в общеобразовательных</w:t>
      </w:r>
      <w:r>
        <w:rPr>
          <w:spacing w:val="46"/>
        </w:rPr>
        <w:t xml:space="preserve"> </w:t>
      </w:r>
      <w:r>
        <w:t>организациях», утвержденные постановлением главного государственного санитарного врача Российской Федерации от 29.12.2010 № 189, для профи</w:t>
      </w:r>
      <w:r>
        <w:t>лактики переутомления обучающихся в календарном учебном графике рекомендуют предусмотреть равномерное распределение периодов учебного времени и каникул</w:t>
      </w:r>
      <w:r>
        <w:rPr>
          <w:spacing w:val="-7"/>
        </w:rPr>
        <w:t xml:space="preserve"> </w:t>
      </w:r>
      <w:r>
        <w:t>(п.10.3).</w:t>
      </w:r>
    </w:p>
    <w:p w:rsidR="003959F6" w:rsidRDefault="00F75DBE">
      <w:pPr>
        <w:pStyle w:val="a3"/>
        <w:ind w:left="374" w:right="105" w:firstLine="709"/>
        <w:jc w:val="both"/>
      </w:pPr>
      <w:r>
        <w:t>Общеобразовательные организации разрабатывают образовательные программы в соответствии с федер</w:t>
      </w:r>
      <w:r>
        <w:t>альными государственными образовательными стандартами и с учетом соответствующих примерных основных образовательных программ (ч. 7 ст. 12 Федерального закона об образовании).</w:t>
      </w:r>
    </w:p>
    <w:p w:rsidR="003959F6" w:rsidRDefault="00F75DBE">
      <w:pPr>
        <w:pStyle w:val="a3"/>
        <w:ind w:left="374" w:right="106" w:firstLine="709"/>
        <w:jc w:val="both"/>
      </w:pPr>
      <w:proofErr w:type="gramStart"/>
      <w:r>
        <w:t>В соответствии с федеральными государственными образовательными стандартами начал</w:t>
      </w:r>
      <w:r>
        <w:t>ьного общего и основного общего образования (приказы Минобрнауки России от 06.10.2009 № 373 - п.19.10.1., от 17.12.2010 № 1897 - 18.3.1.1.) календарный учебный график должен определять чередование учебной деятельности (урочной и внеурочной) и плановых пере</w:t>
      </w:r>
      <w:r>
        <w:t>рывов при получении образования для отдыха и иных социальных целей (каникул) по календарным периодам учебного года:</w:t>
      </w:r>
      <w:proofErr w:type="gramEnd"/>
    </w:p>
    <w:p w:rsidR="003959F6" w:rsidRDefault="00F75DBE">
      <w:pPr>
        <w:pStyle w:val="a3"/>
        <w:ind w:left="1083" w:right="2432"/>
      </w:pPr>
      <w:r>
        <w:t>даты начала и окончания учебного года; продолжительность учебного года, четвертей (триместров); сроки и продолжительность каникул;</w:t>
      </w:r>
    </w:p>
    <w:p w:rsidR="003959F6" w:rsidRDefault="00F75DBE">
      <w:pPr>
        <w:pStyle w:val="a3"/>
        <w:ind w:left="1083"/>
      </w:pPr>
      <w:r>
        <w:t>сроки про</w:t>
      </w:r>
      <w:r>
        <w:t>ведения промежуточных аттестаций.</w:t>
      </w:r>
    </w:p>
    <w:p w:rsidR="003959F6" w:rsidRDefault="00F75DBE">
      <w:pPr>
        <w:pStyle w:val="a3"/>
        <w:ind w:left="374" w:right="105" w:firstLine="709"/>
        <w:jc w:val="both"/>
      </w:pPr>
      <w:r>
        <w:t>В соответствии с Примерной основной образовательной программой начального общего образования, одобренной решением федерального учебн</w:t>
      </w:r>
      <w:proofErr w:type="gramStart"/>
      <w:r>
        <w:t>о-</w:t>
      </w:r>
      <w:proofErr w:type="gramEnd"/>
      <w:r>
        <w:t xml:space="preserve"> методического объединения по общему образованию (протокол от 08.04.2015</w:t>
      </w:r>
    </w:p>
    <w:p w:rsidR="003959F6" w:rsidRDefault="00F75DBE">
      <w:pPr>
        <w:pStyle w:val="a3"/>
        <w:ind w:left="374" w:right="104"/>
        <w:jc w:val="both"/>
      </w:pPr>
      <w:r>
        <w:t xml:space="preserve">№ 1/15), далее </w:t>
      </w:r>
      <w:r>
        <w:t>– ПООП НОО, и Примерной основной образовательной программой основного общего образования, одобренной решением федерального учебн</w:t>
      </w:r>
      <w:proofErr w:type="gramStart"/>
      <w:r>
        <w:t>о-</w:t>
      </w:r>
      <w:proofErr w:type="gramEnd"/>
      <w:r>
        <w:t xml:space="preserve"> методического объединения по общему образованию (протокол от 08.04.2015№ 1/15), далее – ПООП ООО, календарный учебный график </w:t>
      </w:r>
      <w:r>
        <w:t>составляется с учетом мнений участников образовательных отношений, с учетом региональных и этнокультурных традиций, с учетом плановых мероприятий учреждений культуры региона.</w:t>
      </w:r>
    </w:p>
    <w:p w:rsidR="003959F6" w:rsidRDefault="00F75DBE">
      <w:pPr>
        <w:pStyle w:val="a3"/>
        <w:ind w:left="374" w:right="104" w:firstLine="709"/>
        <w:jc w:val="both"/>
      </w:pPr>
      <w:r>
        <w:t>При составлении календарного учебного графика учитываются различные подходы орган</w:t>
      </w:r>
      <w:r>
        <w:t xml:space="preserve">изации учебного года: четвертная, триместровая, </w:t>
      </w:r>
      <w:proofErr w:type="spellStart"/>
      <w:r>
        <w:t>биместровая</w:t>
      </w:r>
      <w:proofErr w:type="spellEnd"/>
      <w:r>
        <w:t>, модульная и др.</w:t>
      </w:r>
    </w:p>
    <w:p w:rsidR="003959F6" w:rsidRDefault="00F75DBE">
      <w:pPr>
        <w:pStyle w:val="a3"/>
        <w:ind w:left="374" w:right="105" w:firstLine="709"/>
        <w:jc w:val="both"/>
      </w:pPr>
      <w:proofErr w:type="gramStart"/>
      <w:r>
        <w:t>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</w:t>
      </w:r>
      <w:r>
        <w:t>ьного процесса (п. 3.2.1.</w:t>
      </w:r>
      <w:proofErr w:type="gramEnd"/>
      <w:r>
        <w:t xml:space="preserve"> ПООП НОО, п.</w:t>
      </w:r>
    </w:p>
    <w:p w:rsidR="003959F6" w:rsidRDefault="00F75DBE">
      <w:pPr>
        <w:pStyle w:val="a3"/>
        <w:ind w:left="374"/>
      </w:pPr>
      <w:r>
        <w:t xml:space="preserve">3.1.1. </w:t>
      </w:r>
      <w:proofErr w:type="gramStart"/>
      <w:r>
        <w:t>ПООП ООО).</w:t>
      </w:r>
      <w:proofErr w:type="gramEnd"/>
    </w:p>
    <w:p w:rsidR="003959F6" w:rsidRDefault="00F75DBE">
      <w:pPr>
        <w:pStyle w:val="a3"/>
        <w:ind w:left="374" w:right="105" w:firstLine="709"/>
        <w:jc w:val="both"/>
      </w:pPr>
      <w:r>
        <w:t>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</w:t>
      </w:r>
      <w:r>
        <w:t>твляющие управление в</w:t>
      </w:r>
      <w:r>
        <w:rPr>
          <w:spacing w:val="58"/>
        </w:rPr>
        <w:t xml:space="preserve"> </w:t>
      </w:r>
      <w:r>
        <w:t>сфере</w:t>
      </w:r>
      <w:r>
        <w:rPr>
          <w:spacing w:val="58"/>
        </w:rPr>
        <w:t xml:space="preserve"> </w:t>
      </w:r>
      <w:r>
        <w:t>образования,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вправе</w:t>
      </w:r>
      <w:r>
        <w:rPr>
          <w:spacing w:val="60"/>
        </w:rPr>
        <w:t xml:space="preserve"> </w:t>
      </w:r>
      <w:r>
        <w:t>изменять</w:t>
      </w:r>
      <w:r>
        <w:rPr>
          <w:spacing w:val="59"/>
        </w:rPr>
        <w:t xml:space="preserve"> </w:t>
      </w:r>
      <w:r>
        <w:t>учебный</w:t>
      </w:r>
      <w:r>
        <w:rPr>
          <w:spacing w:val="58"/>
        </w:rPr>
        <w:t xml:space="preserve"> </w:t>
      </w:r>
      <w:r>
        <w:t>план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календарный</w:t>
      </w:r>
      <w:r>
        <w:rPr>
          <w:spacing w:val="58"/>
        </w:rPr>
        <w:t xml:space="preserve"> </w:t>
      </w:r>
      <w:r>
        <w:t>учебный</w:t>
      </w:r>
    </w:p>
    <w:p w:rsidR="003959F6" w:rsidRDefault="003959F6">
      <w:pPr>
        <w:jc w:val="both"/>
        <w:sectPr w:rsidR="003959F6">
          <w:pgSz w:w="11910" w:h="16840"/>
          <w:pgMar w:top="1060" w:right="460" w:bottom="280" w:left="760" w:header="720" w:footer="720" w:gutter="0"/>
          <w:cols w:space="720"/>
        </w:sectPr>
      </w:pPr>
    </w:p>
    <w:p w:rsidR="003959F6" w:rsidRDefault="00F75DBE">
      <w:pPr>
        <w:pStyle w:val="a3"/>
        <w:spacing w:before="60"/>
        <w:ind w:left="374"/>
        <w:jc w:val="both"/>
      </w:pPr>
      <w:proofErr w:type="gramStart"/>
      <w:r>
        <w:lastRenderedPageBreak/>
        <w:t>график организаций, осуществляющих образовательную деятельность (п. 10 ст. 13</w:t>
      </w:r>
      <w:proofErr w:type="gramEnd"/>
    </w:p>
    <w:p w:rsidR="003959F6" w:rsidRDefault="00F75DBE">
      <w:pPr>
        <w:pStyle w:val="a3"/>
        <w:ind w:left="374"/>
        <w:jc w:val="both"/>
      </w:pPr>
      <w:proofErr w:type="gramStart"/>
      <w:r>
        <w:t>Федеральный закон об образовании).</w:t>
      </w:r>
      <w:proofErr w:type="gramEnd"/>
    </w:p>
    <w:p w:rsidR="003959F6" w:rsidRDefault="00F75DBE">
      <w:pPr>
        <w:pStyle w:val="a3"/>
        <w:ind w:left="374" w:right="106" w:firstLine="709"/>
        <w:jc w:val="both"/>
      </w:pPr>
      <w:proofErr w:type="gramStart"/>
      <w:r>
        <w:t xml:space="preserve">В случае выявления необходимости корректировки основных образовательных программ общеобразовательных организаций в связи с эпидемиологической ситуацией </w:t>
      </w:r>
      <w:proofErr w:type="spellStart"/>
      <w:r>
        <w:t>минобразование</w:t>
      </w:r>
      <w:proofErr w:type="spellEnd"/>
      <w:r>
        <w:t xml:space="preserve"> Ростовской области предлагает руководствоваться разработанными Минпросвещения России совм</w:t>
      </w:r>
      <w:r>
        <w:t xml:space="preserve">естно с </w:t>
      </w:r>
      <w:proofErr w:type="spellStart"/>
      <w:r>
        <w:t>Роспотребнадзором</w:t>
      </w:r>
      <w:proofErr w:type="spellEnd"/>
      <w:r>
        <w:t xml:space="preserve"> (письмо Минпросвещения России от 09.10.2020 № ГД-1730/03) рекомендациями по корректировке образовательных программ (далее – Рекомендации), которые направлены ранее в муниципальные органы, осуществляющие управление в сфере образова</w:t>
      </w:r>
      <w:r>
        <w:t>ния (от 14.10.2020 №</w:t>
      </w:r>
      <w:r>
        <w:rPr>
          <w:spacing w:val="-1"/>
        </w:rPr>
        <w:t xml:space="preserve"> </w:t>
      </w:r>
      <w:r>
        <w:t>24/3.1-15708).</w:t>
      </w:r>
      <w:proofErr w:type="gramEnd"/>
    </w:p>
    <w:p w:rsidR="003959F6" w:rsidRDefault="00F75DBE">
      <w:pPr>
        <w:pStyle w:val="a3"/>
        <w:ind w:left="374" w:right="104" w:firstLine="709"/>
        <w:jc w:val="both"/>
      </w:pPr>
      <w:r>
        <w:t>В Рекомендациях подчеркивается, что основной задачей такой корректировки является достижение результатов освоения программы вне зависимости от ситуации с распространением новой коронавирусной инфекции.</w:t>
      </w:r>
    </w:p>
    <w:p w:rsidR="003959F6" w:rsidRDefault="00F75DBE">
      <w:pPr>
        <w:pStyle w:val="a3"/>
        <w:ind w:left="374" w:right="104" w:firstLine="709"/>
        <w:jc w:val="both"/>
      </w:pPr>
      <w:proofErr w:type="spellStart"/>
      <w:proofErr w:type="gramStart"/>
      <w:r>
        <w:t>Минобразование</w:t>
      </w:r>
      <w:proofErr w:type="spellEnd"/>
      <w:r>
        <w:t xml:space="preserve"> Рос</w:t>
      </w:r>
      <w:r>
        <w:t>товской области рекомендует принять дополнительные меры,  обеспечить   проведение   разъяснительной   работы   по   данному   вопросу  с участниками образовательных отношений, включая родителей (законных представителей) обучающихся муниципальных общеобразо</w:t>
      </w:r>
      <w:r>
        <w:t xml:space="preserve">вательных организаций, а также предварительно (до принятия решения) информировать </w:t>
      </w:r>
      <w:proofErr w:type="spellStart"/>
      <w:r>
        <w:t>минобразование</w:t>
      </w:r>
      <w:proofErr w:type="spellEnd"/>
      <w:r>
        <w:t xml:space="preserve"> Ростовской области о корректировке основных образовательных программ в части изменения сроков и продолжительности каникул в общеобразовательных организациях.</w:t>
      </w:r>
      <w:proofErr w:type="gramEnd"/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spacing w:before="1"/>
        <w:rPr>
          <w:sz w:val="31"/>
        </w:rPr>
      </w:pPr>
    </w:p>
    <w:p w:rsidR="003959F6" w:rsidRDefault="00F75DBE">
      <w:pPr>
        <w:pStyle w:val="a3"/>
        <w:tabs>
          <w:tab w:val="left" w:pos="9070"/>
        </w:tabs>
        <w:ind w:left="1495"/>
      </w:pPr>
      <w:r>
        <w:t>Министр</w:t>
      </w:r>
      <w:r>
        <w:tab/>
        <w:t>Л.В.</w:t>
      </w:r>
      <w:r>
        <w:rPr>
          <w:spacing w:val="-3"/>
        </w:rPr>
        <w:t xml:space="preserve"> </w:t>
      </w:r>
      <w:proofErr w:type="spellStart"/>
      <w:r>
        <w:t>Балина</w:t>
      </w:r>
      <w:proofErr w:type="spellEnd"/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3959F6">
      <w:pPr>
        <w:pStyle w:val="a3"/>
        <w:rPr>
          <w:sz w:val="30"/>
        </w:rPr>
      </w:pPr>
    </w:p>
    <w:p w:rsidR="003959F6" w:rsidRDefault="00F75DBE">
      <w:pPr>
        <w:spacing w:before="230"/>
        <w:ind w:left="374"/>
        <w:jc w:val="both"/>
      </w:pPr>
      <w:proofErr w:type="spellStart"/>
      <w:r>
        <w:t>Дадаш</w:t>
      </w:r>
      <w:proofErr w:type="spellEnd"/>
      <w:r>
        <w:t xml:space="preserve"> Елена Александровна</w:t>
      </w:r>
    </w:p>
    <w:p w:rsidR="003959F6" w:rsidRDefault="00F75DBE">
      <w:pPr>
        <w:ind w:left="374"/>
        <w:jc w:val="both"/>
      </w:pPr>
      <w:r>
        <w:t>+7 (863) 240-96-94</w:t>
      </w:r>
    </w:p>
    <w:sectPr w:rsidR="003959F6">
      <w:pgSz w:w="11910" w:h="16840"/>
      <w:pgMar w:top="1060" w:right="4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959F6"/>
    <w:rsid w:val="003959F6"/>
    <w:rsid w:val="00F7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6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D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DBE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to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</cp:revision>
  <dcterms:created xsi:type="dcterms:W3CDTF">2020-10-30T08:46:00Z</dcterms:created>
  <dcterms:modified xsi:type="dcterms:W3CDTF">2020-10-30T08:47:00Z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2020-10-30T00:00:00Z</vt:filetime>
  </property>
</Properties>
</file>